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3" w:type="dxa"/>
        <w:tblBorders>
          <w:top w:val="single" w:sz="4" w:space="0" w:color="auto"/>
          <w:left w:val="single" w:sz="4" w:space="0" w:color="auto"/>
          <w:bottom w:val="single" w:sz="4" w:space="0" w:color="auto"/>
          <w:right w:val="single" w:sz="4" w:space="0" w:color="auto"/>
        </w:tblBorders>
        <w:tblLayout w:type="fixed"/>
        <w:tblCellMar>
          <w:left w:w="55" w:type="dxa"/>
          <w:right w:w="55" w:type="dxa"/>
        </w:tblCellMar>
        <w:tblLook w:val="0000" w:firstRow="0" w:lastRow="0" w:firstColumn="0" w:lastColumn="0" w:noHBand="0" w:noVBand="0"/>
      </w:tblPr>
      <w:tblGrid>
        <w:gridCol w:w="9903"/>
      </w:tblGrid>
      <w:tr w:rsidR="00B670FE">
        <w:tc>
          <w:tcPr>
            <w:tcW w:w="9903"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B670FE" w:rsidRPr="00C31349">
              <w:trPr>
                <w:cantSplit/>
              </w:trPr>
              <w:tc>
                <w:tcPr>
                  <w:tcW w:w="9903" w:type="dxa"/>
                  <w:tcBorders>
                    <w:top w:val="nil"/>
                    <w:left w:val="nil"/>
                    <w:bottom w:val="nil"/>
                    <w:right w:val="nil"/>
                  </w:tcBorders>
                </w:tcPr>
                <w:p w:rsidR="00B670FE" w:rsidRPr="00C31349" w:rsidRDefault="00606148" w:rsidP="00B670FE">
                  <w:pPr>
                    <w:pStyle w:val="Lettertype"/>
                  </w:pPr>
                  <w:bookmarkStart w:id="0" w:name="_GoBack"/>
                  <w:bookmarkEnd w:id="0"/>
                  <w:r>
                    <w:rPr>
                      <w:noProof/>
                    </w:rPr>
                    <w:drawing>
                      <wp:inline distT="0" distB="0" distL="0" distR="0">
                        <wp:extent cx="2562225" cy="647700"/>
                        <wp:effectExtent l="1905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7" cstate="print"/>
                                <a:srcRect/>
                                <a:stretch>
                                  <a:fillRect/>
                                </a:stretch>
                              </pic:blipFill>
                              <pic:spPr bwMode="auto">
                                <a:xfrm>
                                  <a:off x="0" y="0"/>
                                  <a:ext cx="2562225" cy="647700"/>
                                </a:xfrm>
                                <a:prstGeom prst="rect">
                                  <a:avLst/>
                                </a:prstGeom>
                                <a:noFill/>
                                <a:ln w="9525">
                                  <a:noFill/>
                                  <a:miter lim="800000"/>
                                  <a:headEnd/>
                                  <a:tailEnd/>
                                </a:ln>
                              </pic:spPr>
                            </pic:pic>
                          </a:graphicData>
                        </a:graphic>
                      </wp:inline>
                    </w:drawing>
                  </w:r>
                </w:p>
              </w:tc>
            </w:tr>
            <w:tr w:rsidR="00B670FE" w:rsidRPr="00C31349" w:rsidTr="0038013E">
              <w:trPr>
                <w:cantSplit/>
                <w:trHeight w:val="693"/>
              </w:trPr>
              <w:tc>
                <w:tcPr>
                  <w:tcW w:w="9903" w:type="dxa"/>
                  <w:tcBorders>
                    <w:top w:val="nil"/>
                    <w:left w:val="nil"/>
                    <w:bottom w:val="nil"/>
                    <w:right w:val="nil"/>
                  </w:tcBorders>
                </w:tcPr>
                <w:p w:rsidR="0038013E" w:rsidRPr="00C31349" w:rsidRDefault="0038013E" w:rsidP="0038013E">
                  <w:pPr>
                    <w:pStyle w:val="BodyText"/>
                    <w:rPr>
                      <w:sz w:val="18"/>
                    </w:rPr>
                  </w:pPr>
                  <w:r w:rsidRPr="00C31349">
                    <w:rPr>
                      <w:sz w:val="18"/>
                    </w:rPr>
                    <w:t>Human Resources Department</w:t>
                  </w:r>
                </w:p>
                <w:p w:rsidR="0038013E" w:rsidRPr="00C31349" w:rsidRDefault="0038013E" w:rsidP="0038013E">
                  <w:pPr>
                    <w:pStyle w:val="BodyText"/>
                    <w:rPr>
                      <w:sz w:val="16"/>
                    </w:rPr>
                  </w:pPr>
                  <w:smartTag w:uri="urn:schemas-microsoft-com:office:smarttags" w:element="address">
                    <w:smartTag w:uri="urn:schemas-microsoft-com:office:smarttags" w:element="Street">
                      <w:r w:rsidRPr="00C31349">
                        <w:rPr>
                          <w:sz w:val="16"/>
                        </w:rPr>
                        <w:t>Dept.</w:t>
                      </w:r>
                    </w:smartTag>
                    <w:r w:rsidRPr="00C31349">
                      <w:rPr>
                        <w:sz w:val="16"/>
                      </w:rPr>
                      <w:t xml:space="preserve"> 3422</w:t>
                    </w:r>
                  </w:smartTag>
                  <w:r w:rsidRPr="00C31349">
                    <w:rPr>
                      <w:sz w:val="16"/>
                    </w:rPr>
                    <w:t xml:space="preserve"> • </w:t>
                  </w:r>
                  <w:smartTag w:uri="urn:schemas-microsoft-com:office:smarttags" w:element="Street">
                    <w:smartTag w:uri="urn:schemas-microsoft-com:office:smarttags" w:element="address">
                      <w:r w:rsidRPr="00C31349">
                        <w:rPr>
                          <w:sz w:val="16"/>
                        </w:rPr>
                        <w:t>1000 E. University Ave.</w:t>
                      </w:r>
                    </w:smartTag>
                  </w:smartTag>
                  <w:r w:rsidRPr="00C31349">
                    <w:rPr>
                      <w:sz w:val="16"/>
                    </w:rPr>
                    <w:t xml:space="preserve"> • Room 139, Wyoming Hall • </w:t>
                  </w:r>
                  <w:smartTag w:uri="urn:schemas-microsoft-com:office:smarttags" w:element="place">
                    <w:smartTag w:uri="urn:schemas-microsoft-com:office:smarttags" w:element="City">
                      <w:r w:rsidRPr="00C31349">
                        <w:rPr>
                          <w:sz w:val="16"/>
                        </w:rPr>
                        <w:t>Laramie</w:t>
                      </w:r>
                    </w:smartTag>
                    <w:r w:rsidRPr="00C31349">
                      <w:rPr>
                        <w:sz w:val="16"/>
                      </w:rPr>
                      <w:t xml:space="preserve">, </w:t>
                    </w:r>
                    <w:smartTag w:uri="urn:schemas-microsoft-com:office:smarttags" w:element="State">
                      <w:r w:rsidRPr="00C31349">
                        <w:rPr>
                          <w:sz w:val="16"/>
                        </w:rPr>
                        <w:t>WY</w:t>
                      </w:r>
                    </w:smartTag>
                    <w:r w:rsidRPr="00C31349">
                      <w:rPr>
                        <w:sz w:val="16"/>
                      </w:rPr>
                      <w:t xml:space="preserve"> </w:t>
                    </w:r>
                    <w:smartTag w:uri="urn:schemas-microsoft-com:office:smarttags" w:element="PostalCode">
                      <w:r w:rsidRPr="00C31349">
                        <w:rPr>
                          <w:sz w:val="16"/>
                        </w:rPr>
                        <w:t>82071</w:t>
                      </w:r>
                    </w:smartTag>
                  </w:smartTag>
                </w:p>
                <w:p w:rsidR="00B670FE" w:rsidRPr="00C31349" w:rsidRDefault="0038013E" w:rsidP="0038013E">
                  <w:pPr>
                    <w:pStyle w:val="BodyText"/>
                  </w:pPr>
                  <w:r w:rsidRPr="00C31349">
                    <w:rPr>
                      <w:sz w:val="16"/>
                    </w:rPr>
                    <w:t>(307) 766-2215 • fax (307) 766-5607 • www.uwyo.edu/hr</w:t>
                  </w:r>
                </w:p>
              </w:tc>
            </w:tr>
          </w:tbl>
          <w:p w:rsidR="00B670FE" w:rsidRDefault="00B670FE" w:rsidP="00B670FE"/>
        </w:tc>
      </w:tr>
    </w:tbl>
    <w:p w:rsidR="00B670FE" w:rsidRDefault="00B670FE" w:rsidP="00B670FE"/>
    <w:p w:rsidR="0038013E" w:rsidRDefault="0038013E" w:rsidP="00B670FE">
      <w:r>
        <w:t>May 14, 2014</w:t>
      </w:r>
    </w:p>
    <w:p w:rsidR="0038013E" w:rsidRDefault="0038013E" w:rsidP="00B670FE"/>
    <w:p w:rsidR="0038013E" w:rsidRDefault="0038013E" w:rsidP="00B670FE"/>
    <w:p w:rsidR="0038013E" w:rsidRPr="0038013E" w:rsidRDefault="0038013E" w:rsidP="0038013E">
      <w:pPr>
        <w:rPr>
          <w:sz w:val="28"/>
          <w:szCs w:val="28"/>
          <w:u w:val="single"/>
        </w:rPr>
      </w:pPr>
      <w:r w:rsidRPr="0038013E">
        <w:rPr>
          <w:sz w:val="28"/>
          <w:szCs w:val="28"/>
          <w:u w:val="single"/>
        </w:rPr>
        <w:t>Frequently Asked Questions regarding Self-Identification</w:t>
      </w:r>
    </w:p>
    <w:p w:rsidR="0038013E" w:rsidRPr="0038013E" w:rsidRDefault="0038013E" w:rsidP="0038013E">
      <w:pPr>
        <w:rPr>
          <w:sz w:val="36"/>
          <w:szCs w:val="36"/>
          <w:u w:val="single"/>
        </w:rPr>
      </w:pPr>
    </w:p>
    <w:p w:rsidR="0038013E" w:rsidRDefault="0038013E" w:rsidP="0038013E">
      <w:pPr>
        <w:ind w:firstLine="720"/>
      </w:pPr>
      <w:r>
        <w:t>As of March 24, 2014, due to changes in federal law, the University of Wyoming is required to invite applicants and employees to self-identify their status as</w:t>
      </w:r>
      <w:r w:rsidR="000972A4">
        <w:t xml:space="preserve"> a member of</w:t>
      </w:r>
      <w:r>
        <w:t xml:space="preserve"> certain protected groups.  Current employees </w:t>
      </w:r>
      <w:r w:rsidR="000972A4">
        <w:t xml:space="preserve">may </w:t>
      </w:r>
      <w:r>
        <w:t xml:space="preserve">voluntarily and confidentially self-identify as members of certain </w:t>
      </w:r>
      <w:r w:rsidR="000972A4">
        <w:t>ethnic groups</w:t>
      </w:r>
      <w:r>
        <w:t xml:space="preserve">, </w:t>
      </w:r>
      <w:r w:rsidR="000972A4">
        <w:t xml:space="preserve">veterans </w:t>
      </w:r>
      <w:r>
        <w:t xml:space="preserve">or </w:t>
      </w:r>
      <w:r w:rsidR="000972A4">
        <w:t xml:space="preserve">individuals </w:t>
      </w:r>
      <w:r>
        <w:t xml:space="preserve">with </w:t>
      </w:r>
      <w:r w:rsidR="000972A4">
        <w:t xml:space="preserve">disabilities </w:t>
      </w:r>
      <w:r>
        <w:t xml:space="preserve">utilizing Self-Service on PeopleSoft HRMS.  </w:t>
      </w:r>
    </w:p>
    <w:p w:rsidR="00A65DE7" w:rsidRDefault="00A65DE7" w:rsidP="0038013E">
      <w:pPr>
        <w:ind w:firstLine="720"/>
      </w:pPr>
    </w:p>
    <w:p w:rsidR="00A65DE7" w:rsidRDefault="00A65DE7" w:rsidP="0038013E">
      <w:pPr>
        <w:ind w:firstLine="720"/>
      </w:pPr>
      <w:r>
        <w:t xml:space="preserve">There are no benefits or penalties for choosing or declining to self-identify.  Self-identifying is voluntary, confidential, and </w:t>
      </w:r>
      <w:r w:rsidR="000972A4">
        <w:t xml:space="preserve">entirely </w:t>
      </w:r>
      <w:r>
        <w:t xml:space="preserve">self-reported.  No one will follow up to verify if you are a </w:t>
      </w:r>
      <w:r w:rsidR="000972A4">
        <w:t>veteran</w:t>
      </w:r>
      <w:r>
        <w:t xml:space="preserve">, have a </w:t>
      </w:r>
      <w:r w:rsidR="000972A4">
        <w:t>disability</w:t>
      </w:r>
      <w:r>
        <w:t>, etc.</w:t>
      </w:r>
    </w:p>
    <w:p w:rsidR="0038013E" w:rsidRDefault="0038013E" w:rsidP="0038013E">
      <w:pPr>
        <w:ind w:firstLine="720"/>
      </w:pPr>
    </w:p>
    <w:p w:rsidR="0038013E" w:rsidRDefault="0038013E" w:rsidP="0038013E">
      <w:pPr>
        <w:ind w:firstLine="720"/>
      </w:pPr>
      <w:r>
        <w:t>Below are some frequently asked questions regarding self-identification.  It is our hope that the answers here provide more information for those with questions about the process.  Any other questions or concerns can be addressed by contacting Human Resources or the Office of Diversity and Employment Practices.</w:t>
      </w:r>
    </w:p>
    <w:p w:rsidR="0038013E" w:rsidRDefault="0038013E" w:rsidP="0038013E"/>
    <w:p w:rsidR="009F2197" w:rsidRDefault="009F2197" w:rsidP="0038013E"/>
    <w:p w:rsidR="0038013E" w:rsidRDefault="0038013E" w:rsidP="00A65DE7">
      <w:pPr>
        <w:pStyle w:val="ListParagraph"/>
        <w:numPr>
          <w:ilvl w:val="0"/>
          <w:numId w:val="1"/>
        </w:numPr>
      </w:pPr>
      <w:r w:rsidRPr="00A65DE7">
        <w:rPr>
          <w:b/>
        </w:rPr>
        <w:t>Q</w:t>
      </w:r>
      <w:r>
        <w:t xml:space="preserve">.  If I self-identify as a member of a protected class, who will see it?  </w:t>
      </w:r>
    </w:p>
    <w:p w:rsidR="0038013E" w:rsidRDefault="0038013E" w:rsidP="0038013E"/>
    <w:p w:rsidR="0038013E" w:rsidRDefault="0038013E" w:rsidP="009F2197">
      <w:pPr>
        <w:ind w:firstLine="720"/>
      </w:pPr>
      <w:r w:rsidRPr="0038013E">
        <w:rPr>
          <w:b/>
        </w:rPr>
        <w:t>A</w:t>
      </w:r>
      <w:r>
        <w:t xml:space="preserve">.  Self-Identification will </w:t>
      </w:r>
      <w:r w:rsidRPr="0038013E">
        <w:rPr>
          <w:b/>
        </w:rPr>
        <w:t>not</w:t>
      </w:r>
      <w:r>
        <w:t xml:space="preserve"> be seen by hiring managers, supervisors, </w:t>
      </w:r>
      <w:r w:rsidR="000972A4">
        <w:t xml:space="preserve">or </w:t>
      </w:r>
      <w:r>
        <w:t>co-workers.  The only departments with access to this information will be Human Resources and the Office of Diversity and Employment Practices.  This confidential information will not be attached to personnel records, evaluations or any other records in our system.</w:t>
      </w:r>
    </w:p>
    <w:p w:rsidR="009F2197" w:rsidRDefault="009F2197" w:rsidP="009F2197">
      <w:pPr>
        <w:ind w:firstLine="720"/>
      </w:pPr>
    </w:p>
    <w:p w:rsidR="00B670FE" w:rsidRDefault="00B670FE" w:rsidP="00B670FE"/>
    <w:p w:rsidR="009F2197" w:rsidRDefault="009F2197" w:rsidP="00B670FE"/>
    <w:p w:rsidR="00B670FE" w:rsidRDefault="0038013E" w:rsidP="00A65DE7">
      <w:pPr>
        <w:pStyle w:val="ListParagraph"/>
        <w:numPr>
          <w:ilvl w:val="0"/>
          <w:numId w:val="1"/>
        </w:numPr>
      </w:pPr>
      <w:r w:rsidRPr="00A65DE7">
        <w:rPr>
          <w:b/>
        </w:rPr>
        <w:t>Q</w:t>
      </w:r>
      <w:r>
        <w:t xml:space="preserve">.  </w:t>
      </w:r>
      <w:r w:rsidR="009F2197">
        <w:t xml:space="preserve">If I self-identify as an individual with a disability, will someone contact me to see if I need an accommodation or to verify that I do, indeed, have a disability?  </w:t>
      </w:r>
    </w:p>
    <w:p w:rsidR="009F2197" w:rsidRDefault="009F2197" w:rsidP="00B670FE"/>
    <w:p w:rsidR="009F2197" w:rsidRDefault="009F2197" w:rsidP="009F2197">
      <w:pPr>
        <w:ind w:firstLine="720"/>
      </w:pPr>
      <w:r w:rsidRPr="009F2197">
        <w:rPr>
          <w:b/>
        </w:rPr>
        <w:t>A</w:t>
      </w:r>
      <w:r>
        <w:t>.  No.  Checking the box to self-identify is like raising your hand to be counted and then putting it back down.  The process is completely confidential and will not begin any other processes for accommodation or verification.   To request a reasonable accommodation for a disability, please contact the Human Resources Benefits Office.</w:t>
      </w:r>
    </w:p>
    <w:p w:rsidR="009F2197" w:rsidRDefault="009F2197" w:rsidP="009F2197"/>
    <w:p w:rsidR="009F2197" w:rsidRDefault="009F2197" w:rsidP="009F2197"/>
    <w:p w:rsidR="009F2197" w:rsidRDefault="009F2197" w:rsidP="009F2197"/>
    <w:p w:rsidR="009F2197" w:rsidRDefault="009F2197" w:rsidP="00A65DE7">
      <w:pPr>
        <w:pStyle w:val="ListParagraph"/>
        <w:numPr>
          <w:ilvl w:val="0"/>
          <w:numId w:val="1"/>
        </w:numPr>
      </w:pPr>
      <w:r w:rsidRPr="00A65DE7">
        <w:rPr>
          <w:b/>
        </w:rPr>
        <w:t>Q.</w:t>
      </w:r>
      <w:r>
        <w:t xml:space="preserve">  Will applicants/employees receive preference if they self-identify as a certain protected class?</w:t>
      </w:r>
    </w:p>
    <w:p w:rsidR="009F2197" w:rsidRDefault="009F2197" w:rsidP="009F2197"/>
    <w:p w:rsidR="009F2197" w:rsidRDefault="009F2197" w:rsidP="009F2197">
      <w:pPr>
        <w:ind w:firstLine="720"/>
      </w:pPr>
      <w:r w:rsidRPr="009F2197">
        <w:rPr>
          <w:b/>
        </w:rPr>
        <w:t>A.</w:t>
      </w:r>
      <w:r>
        <w:t xml:space="preserve">  No.  Hiring managers will not know who among their hiring pools or staff members has identified as a member of a protected class.  All applicants and employees are to be treated equally and fairly.  </w:t>
      </w:r>
    </w:p>
    <w:p w:rsidR="009F2197" w:rsidRDefault="009F2197" w:rsidP="009F2197"/>
    <w:p w:rsidR="009F2197" w:rsidRDefault="009F2197" w:rsidP="009F2197"/>
    <w:p w:rsidR="009F2197" w:rsidRDefault="009F2197" w:rsidP="009F2197"/>
    <w:p w:rsidR="009F2197" w:rsidRDefault="009F2197" w:rsidP="00A65DE7">
      <w:pPr>
        <w:pStyle w:val="ListParagraph"/>
        <w:numPr>
          <w:ilvl w:val="0"/>
          <w:numId w:val="1"/>
        </w:numPr>
      </w:pPr>
      <w:r w:rsidRPr="00A65DE7">
        <w:rPr>
          <w:b/>
        </w:rPr>
        <w:t>Q</w:t>
      </w:r>
      <w:r>
        <w:t xml:space="preserve">.  How will we know who is in a protected class?  </w:t>
      </w:r>
    </w:p>
    <w:p w:rsidR="009F2197" w:rsidRDefault="009F2197" w:rsidP="009F2197"/>
    <w:p w:rsidR="009F2197" w:rsidRDefault="009F2197" w:rsidP="009F2197">
      <w:pPr>
        <w:ind w:firstLine="720"/>
      </w:pPr>
      <w:r w:rsidRPr="009F2197">
        <w:rPr>
          <w:b/>
        </w:rPr>
        <w:t>A.</w:t>
      </w:r>
      <w:r>
        <w:t xml:space="preserve">  You won’t.  We all just need to be aware of our obligations under federal law to provide equal opportunity.  All employees and applicants are to be treated equally and fairly.</w:t>
      </w:r>
    </w:p>
    <w:p w:rsidR="009F2197" w:rsidRDefault="009F2197" w:rsidP="009F2197"/>
    <w:p w:rsidR="009F2197" w:rsidRDefault="009F2197" w:rsidP="009F2197"/>
    <w:p w:rsidR="009F2197" w:rsidRDefault="009F2197" w:rsidP="009F2197"/>
    <w:p w:rsidR="009F2197" w:rsidRDefault="009F2197" w:rsidP="009F2197"/>
    <w:p w:rsidR="009F2197" w:rsidRDefault="009F2197" w:rsidP="00A65DE7">
      <w:pPr>
        <w:pStyle w:val="ListParagraph"/>
        <w:numPr>
          <w:ilvl w:val="0"/>
          <w:numId w:val="1"/>
        </w:numPr>
      </w:pPr>
      <w:r w:rsidRPr="00A65DE7">
        <w:rPr>
          <w:b/>
        </w:rPr>
        <w:t>Q.</w:t>
      </w:r>
      <w:r>
        <w:t xml:space="preserve">  If hiring managers know that someone has identified as a protected class, are they required to give them preference?</w:t>
      </w:r>
    </w:p>
    <w:p w:rsidR="009F2197" w:rsidRDefault="009F2197" w:rsidP="009F2197"/>
    <w:p w:rsidR="009F2197" w:rsidRDefault="009F2197" w:rsidP="009F2197">
      <w:pPr>
        <w:ind w:firstLine="720"/>
      </w:pPr>
      <w:r w:rsidRPr="009F2197">
        <w:rPr>
          <w:b/>
        </w:rPr>
        <w:t>A</w:t>
      </w:r>
      <w:r>
        <w:t xml:space="preserve">.  No.  Hiring managers should not assume that individuals are or are not self-identifying as a protected class member.  Everyone is to be treated fairly and given equal opportunity.  </w:t>
      </w:r>
    </w:p>
    <w:p w:rsidR="009F2197" w:rsidRDefault="009F2197" w:rsidP="009F2197"/>
    <w:p w:rsidR="009F2197" w:rsidRDefault="009F2197" w:rsidP="009F2197"/>
    <w:p w:rsidR="009F2197" w:rsidRDefault="009F2197" w:rsidP="009F2197"/>
    <w:p w:rsidR="009F2197" w:rsidRDefault="009F2197" w:rsidP="00A65DE7">
      <w:pPr>
        <w:pStyle w:val="ListParagraph"/>
        <w:numPr>
          <w:ilvl w:val="0"/>
          <w:numId w:val="1"/>
        </w:numPr>
      </w:pPr>
      <w:r w:rsidRPr="00A65DE7">
        <w:rPr>
          <w:b/>
        </w:rPr>
        <w:t>Q</w:t>
      </w:r>
      <w:r>
        <w:t>.  Why is there no way to self-identify as a military spouse?</w:t>
      </w:r>
    </w:p>
    <w:p w:rsidR="009F2197" w:rsidRDefault="009F2197" w:rsidP="009F2197"/>
    <w:p w:rsidR="009F2197" w:rsidRDefault="009F2197" w:rsidP="00A65DE7">
      <w:pPr>
        <w:pStyle w:val="ListParagraph"/>
        <w:numPr>
          <w:ilvl w:val="0"/>
          <w:numId w:val="2"/>
        </w:numPr>
      </w:pPr>
      <w:r>
        <w:t>We are not currently required to track military spouses.</w:t>
      </w:r>
    </w:p>
    <w:p w:rsidR="00A65DE7" w:rsidRDefault="00A65DE7" w:rsidP="00A65DE7">
      <w:pPr>
        <w:pStyle w:val="ListParagraph"/>
        <w:ind w:left="1080"/>
      </w:pPr>
    </w:p>
    <w:p w:rsidR="00A65DE7" w:rsidRDefault="00A65DE7" w:rsidP="00A65DE7">
      <w:pPr>
        <w:pStyle w:val="ListParagraph"/>
        <w:ind w:left="1080"/>
      </w:pPr>
    </w:p>
    <w:p w:rsidR="009F2197" w:rsidRDefault="009F2197" w:rsidP="009F2197"/>
    <w:p w:rsidR="009F2197" w:rsidRDefault="009F2197" w:rsidP="00A65DE7">
      <w:pPr>
        <w:pStyle w:val="ListParagraph"/>
        <w:numPr>
          <w:ilvl w:val="0"/>
          <w:numId w:val="1"/>
        </w:numPr>
      </w:pPr>
      <w:r w:rsidRPr="00A65DE7">
        <w:rPr>
          <w:b/>
        </w:rPr>
        <w:t>Q</w:t>
      </w:r>
      <w:r>
        <w:t xml:space="preserve">.  How will I know if I am a “protected” </w:t>
      </w:r>
      <w:r w:rsidR="000972A4">
        <w:t>veteran</w:t>
      </w:r>
      <w:r>
        <w:t>?</w:t>
      </w:r>
    </w:p>
    <w:p w:rsidR="009F2197" w:rsidRDefault="009F2197" w:rsidP="009F2197"/>
    <w:p w:rsidR="009F2197" w:rsidRDefault="009F2197" w:rsidP="009F2197">
      <w:pPr>
        <w:ind w:firstLine="720"/>
      </w:pPr>
      <w:r w:rsidRPr="009F2197">
        <w:rPr>
          <w:b/>
        </w:rPr>
        <w:t>A</w:t>
      </w:r>
      <w:r>
        <w:t xml:space="preserve">.  The definition of “protected </w:t>
      </w:r>
      <w:r w:rsidR="000972A4">
        <w:t>veteran</w:t>
      </w:r>
      <w:r>
        <w:t xml:space="preserve">” is available on the self-identification page.  For further clarification, please feel free to contact Human Resources or the Office of Diversity and Employment Practices. </w:t>
      </w:r>
    </w:p>
    <w:p w:rsidR="009F2197" w:rsidRPr="00FA65E4" w:rsidRDefault="009F2197" w:rsidP="009F2197"/>
    <w:sectPr w:rsidR="009F2197" w:rsidRPr="00FA65E4" w:rsidSect="00697C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Lt BT">
    <w:altName w:val="Century Gothic"/>
    <w:charset w:val="00"/>
    <w:family w:val="swiss"/>
    <w:pitch w:val="variable"/>
    <w:sig w:usb0="00000007" w:usb1="00000000" w:usb2="00000000" w:usb3="00000000" w:csb0="0000001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915"/>
    <w:multiLevelType w:val="hybridMultilevel"/>
    <w:tmpl w:val="D458B922"/>
    <w:lvl w:ilvl="0" w:tplc="4A6C61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579CB"/>
    <w:multiLevelType w:val="hybridMultilevel"/>
    <w:tmpl w:val="00FC3B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AD"/>
    <w:rsid w:val="0007080D"/>
    <w:rsid w:val="000972A4"/>
    <w:rsid w:val="00183008"/>
    <w:rsid w:val="001B01B6"/>
    <w:rsid w:val="001C017F"/>
    <w:rsid w:val="001E3426"/>
    <w:rsid w:val="002303F9"/>
    <w:rsid w:val="002422A3"/>
    <w:rsid w:val="0024619A"/>
    <w:rsid w:val="0029070F"/>
    <w:rsid w:val="002C24EE"/>
    <w:rsid w:val="00331F0F"/>
    <w:rsid w:val="0038013E"/>
    <w:rsid w:val="003E285D"/>
    <w:rsid w:val="003F1227"/>
    <w:rsid w:val="004C581E"/>
    <w:rsid w:val="004E714B"/>
    <w:rsid w:val="00574553"/>
    <w:rsid w:val="005D210D"/>
    <w:rsid w:val="005E1D17"/>
    <w:rsid w:val="00605FEC"/>
    <w:rsid w:val="00606148"/>
    <w:rsid w:val="00637E1A"/>
    <w:rsid w:val="00676576"/>
    <w:rsid w:val="00680D49"/>
    <w:rsid w:val="00697CB0"/>
    <w:rsid w:val="00720DC9"/>
    <w:rsid w:val="00735C29"/>
    <w:rsid w:val="008502AD"/>
    <w:rsid w:val="0087577B"/>
    <w:rsid w:val="008B7DF6"/>
    <w:rsid w:val="009362F7"/>
    <w:rsid w:val="0094144B"/>
    <w:rsid w:val="00987E79"/>
    <w:rsid w:val="009F2197"/>
    <w:rsid w:val="00A35CD7"/>
    <w:rsid w:val="00A37DAA"/>
    <w:rsid w:val="00A65DE7"/>
    <w:rsid w:val="00AB1148"/>
    <w:rsid w:val="00B670FE"/>
    <w:rsid w:val="00C40764"/>
    <w:rsid w:val="00C421B1"/>
    <w:rsid w:val="00D01110"/>
    <w:rsid w:val="00D21279"/>
    <w:rsid w:val="00D72FDD"/>
    <w:rsid w:val="00DC634C"/>
    <w:rsid w:val="00E32F83"/>
    <w:rsid w:val="00E5330A"/>
    <w:rsid w:val="00E7420A"/>
    <w:rsid w:val="00E90876"/>
    <w:rsid w:val="00E95398"/>
    <w:rsid w:val="00EA46F5"/>
    <w:rsid w:val="00EF55DC"/>
    <w:rsid w:val="00F4666A"/>
    <w:rsid w:val="00F52077"/>
    <w:rsid w:val="00FC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address"/>
    <w:basedOn w:val="Normal"/>
    <w:rsid w:val="00B670FE"/>
    <w:rPr>
      <w:szCs w:val="20"/>
    </w:rPr>
  </w:style>
  <w:style w:type="paragraph" w:customStyle="1" w:styleId="Lettertype">
    <w:name w:val="Lettertype"/>
    <w:basedOn w:val="BodyText"/>
    <w:rsid w:val="00B670FE"/>
    <w:pPr>
      <w:spacing w:after="180"/>
    </w:pPr>
    <w:rPr>
      <w:rFonts w:ascii="Futura Lt BT" w:eastAsia="Times" w:hAnsi="Futura Lt BT"/>
      <w:color w:val="000000"/>
      <w:sz w:val="20"/>
    </w:rPr>
  </w:style>
  <w:style w:type="paragraph" w:styleId="BalloonText">
    <w:name w:val="Balloon Text"/>
    <w:basedOn w:val="Normal"/>
    <w:semiHidden/>
    <w:rsid w:val="00331F0F"/>
    <w:rPr>
      <w:rFonts w:ascii="Tahoma" w:hAnsi="Tahoma" w:cs="Tahoma"/>
      <w:sz w:val="16"/>
      <w:szCs w:val="16"/>
    </w:rPr>
  </w:style>
  <w:style w:type="character" w:styleId="Hyperlink">
    <w:name w:val="Hyperlink"/>
    <w:basedOn w:val="DefaultParagraphFont"/>
    <w:uiPriority w:val="99"/>
    <w:unhideWhenUsed/>
    <w:rsid w:val="00FC5305"/>
    <w:rPr>
      <w:color w:val="0000FF" w:themeColor="hyperlink"/>
      <w:u w:val="single"/>
    </w:rPr>
  </w:style>
  <w:style w:type="paragraph" w:styleId="ListParagraph">
    <w:name w:val="List Paragraph"/>
    <w:basedOn w:val="Normal"/>
    <w:uiPriority w:val="34"/>
    <w:qFormat/>
    <w:rsid w:val="00A65D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address"/>
    <w:basedOn w:val="Normal"/>
    <w:rsid w:val="00B670FE"/>
    <w:rPr>
      <w:szCs w:val="20"/>
    </w:rPr>
  </w:style>
  <w:style w:type="paragraph" w:customStyle="1" w:styleId="Lettertype">
    <w:name w:val="Lettertype"/>
    <w:basedOn w:val="BodyText"/>
    <w:rsid w:val="00B670FE"/>
    <w:pPr>
      <w:spacing w:after="180"/>
    </w:pPr>
    <w:rPr>
      <w:rFonts w:ascii="Futura Lt BT" w:eastAsia="Times" w:hAnsi="Futura Lt BT"/>
      <w:color w:val="000000"/>
      <w:sz w:val="20"/>
    </w:rPr>
  </w:style>
  <w:style w:type="paragraph" w:styleId="BalloonText">
    <w:name w:val="Balloon Text"/>
    <w:basedOn w:val="Normal"/>
    <w:semiHidden/>
    <w:rsid w:val="00331F0F"/>
    <w:rPr>
      <w:rFonts w:ascii="Tahoma" w:hAnsi="Tahoma" w:cs="Tahoma"/>
      <w:sz w:val="16"/>
      <w:szCs w:val="16"/>
    </w:rPr>
  </w:style>
  <w:style w:type="character" w:styleId="Hyperlink">
    <w:name w:val="Hyperlink"/>
    <w:basedOn w:val="DefaultParagraphFont"/>
    <w:uiPriority w:val="99"/>
    <w:unhideWhenUsed/>
    <w:rsid w:val="00FC5305"/>
    <w:rPr>
      <w:color w:val="0000FF" w:themeColor="hyperlink"/>
      <w:u w:val="single"/>
    </w:rPr>
  </w:style>
  <w:style w:type="paragraph" w:styleId="ListParagraph">
    <w:name w:val="List Paragraph"/>
    <w:basedOn w:val="Normal"/>
    <w:uiPriority w:val="34"/>
    <w:qFormat/>
    <w:rsid w:val="00A65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8A54E57-A33D-4412-80CF-A3AFB407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sehunter</dc:creator>
  <cp:lastModifiedBy>Janean Forsyth Lefevre</cp:lastModifiedBy>
  <cp:revision>2</cp:revision>
  <cp:lastPrinted>2010-12-16T23:13:00Z</cp:lastPrinted>
  <dcterms:created xsi:type="dcterms:W3CDTF">2014-05-21T16:23:00Z</dcterms:created>
  <dcterms:modified xsi:type="dcterms:W3CDTF">2014-05-21T16:23:00Z</dcterms:modified>
</cp:coreProperties>
</file>