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0D" w:rsidRDefault="00730C0D" w:rsidP="00730C0D">
      <w:pPr>
        <w:pStyle w:val="Title"/>
        <w:rPr>
          <w:rFonts w:ascii="Arial" w:hAnsi="Arial"/>
          <w:b w:val="0"/>
        </w:rPr>
      </w:pPr>
    </w:p>
    <w:p w:rsidR="00730C0D" w:rsidRDefault="00730C0D" w:rsidP="00730C0D">
      <w:pPr>
        <w:pStyle w:val="Title"/>
        <w:rPr>
          <w:rFonts w:ascii="Arial" w:hAnsi="Arial"/>
          <w:b w:val="0"/>
        </w:rPr>
      </w:pPr>
      <w:r>
        <w:rPr>
          <w:rFonts w:ascii="Arial" w:hAnsi="Arial"/>
          <w:b w:val="0"/>
        </w:rPr>
        <w:t>HISTORY SHEET</w:t>
      </w:r>
    </w:p>
    <w:p w:rsidR="00730C0D" w:rsidRDefault="00730C0D" w:rsidP="00730C0D">
      <w:pPr>
        <w:jc w:val="center"/>
        <w:rPr>
          <w:rFonts w:ascii="Arial" w:hAnsi="Arial"/>
          <w:b/>
        </w:rPr>
      </w:pPr>
      <w:r>
        <w:rPr>
          <w:rFonts w:ascii="Arial" w:hAnsi="Arial"/>
          <w:b/>
        </w:rPr>
        <w:t>TENURE-TRACK FACULTY</w:t>
      </w:r>
    </w:p>
    <w:p w:rsidR="00730C0D" w:rsidRDefault="00730C0D" w:rsidP="00730C0D">
      <w:pPr>
        <w:rPr>
          <w:rFonts w:ascii="Arial" w:hAnsi="Arial"/>
        </w:rPr>
      </w:pPr>
    </w:p>
    <w:p w:rsidR="00730C0D" w:rsidRDefault="00730C0D" w:rsidP="00730C0D">
      <w:pPr>
        <w:rPr>
          <w:rFonts w:ascii="Arial" w:hAnsi="Arial"/>
        </w:rPr>
      </w:pPr>
    </w:p>
    <w:p w:rsidR="00730C0D" w:rsidRDefault="00730C0D" w:rsidP="00730C0D">
      <w:pPr>
        <w:pStyle w:val="Subtitle"/>
        <w:rPr>
          <w:rFonts w:ascii="Arial" w:hAnsi="Arial"/>
          <w:sz w:val="20"/>
        </w:rPr>
      </w:pPr>
      <w:r>
        <w:rPr>
          <w:rFonts w:ascii="Arial" w:hAnsi="Arial"/>
          <w:sz w:val="20"/>
        </w:rPr>
        <w:t>Name</w:t>
      </w:r>
      <w:bookmarkStart w:id="0" w:name="Text57"/>
      <w:r>
        <w:rPr>
          <w:rFonts w:ascii="Arial" w:hAnsi="Arial"/>
          <w:sz w:val="20"/>
        </w:rPr>
        <w:fldChar w:fldCharType="begin">
          <w:ffData>
            <w:name w:val="Text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r>
        <w:rPr>
          <w:rFonts w:ascii="Arial" w:hAnsi="Arial"/>
          <w:sz w:val="20"/>
        </w:rPr>
        <w:tab/>
      </w:r>
      <w:r>
        <w:rPr>
          <w:rFonts w:ascii="Arial" w:hAnsi="Arial"/>
          <w:sz w:val="20"/>
        </w:rPr>
        <w:tab/>
      </w:r>
      <w:r>
        <w:rPr>
          <w:rFonts w:ascii="Arial" w:hAnsi="Arial"/>
          <w:sz w:val="20"/>
        </w:rPr>
        <w:tab/>
      </w:r>
      <w:r>
        <w:rPr>
          <w:rFonts w:ascii="Arial" w:hAnsi="Arial"/>
          <w:sz w:val="20"/>
        </w:rPr>
        <w:tab/>
        <w:t xml:space="preserve">       Department  </w:t>
      </w:r>
      <w:bookmarkStart w:id="1" w:name="Text58"/>
      <w:r>
        <w:rPr>
          <w:rFonts w:ascii="Arial" w:hAnsi="Arial"/>
          <w:sz w:val="20"/>
        </w:rPr>
        <w:fldChar w:fldCharType="begin">
          <w:ffData>
            <w:name w:val="Text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p w:rsidR="00730C0D" w:rsidRDefault="00730C0D" w:rsidP="00730C0D">
      <w:pPr>
        <w:rPr>
          <w:rFonts w:ascii="Arial" w:hAnsi="Arial"/>
        </w:rPr>
      </w:pPr>
    </w:p>
    <w:p w:rsidR="00730C0D" w:rsidRDefault="00730C0D" w:rsidP="00730C0D">
      <w:pPr>
        <w:rPr>
          <w:rFonts w:ascii="Arial" w:hAnsi="Arial"/>
        </w:rPr>
      </w:pPr>
      <w:r>
        <w:rPr>
          <w:rFonts w:ascii="Arial" w:hAnsi="Arial"/>
        </w:rPr>
        <w:t xml:space="preserve">Rank of Appointment </w:t>
      </w:r>
      <w:bookmarkStart w:id="2" w:name="Text59"/>
      <w:r>
        <w:rPr>
          <w:rFonts w:ascii="Arial" w:hAnsi="Arial"/>
        </w:rPr>
        <w:fldChar w:fldCharType="begin">
          <w:ffData>
            <w:name w:val="Text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730C0D" w:rsidRDefault="00730C0D" w:rsidP="00730C0D">
      <w:pPr>
        <w:rPr>
          <w:rFonts w:ascii="Arial" w:hAnsi="Arial"/>
        </w:rPr>
      </w:pPr>
    </w:p>
    <w:p w:rsidR="00730C0D" w:rsidRDefault="00730C0D" w:rsidP="00730C0D">
      <w:pPr>
        <w:rPr>
          <w:rFonts w:ascii="Arial" w:hAnsi="Arial"/>
        </w:rPr>
      </w:pPr>
      <w:r>
        <w:rPr>
          <w:rFonts w:ascii="Arial" w:hAnsi="Arial"/>
        </w:rPr>
        <w:t xml:space="preserve">Date of Appointment  </w:t>
      </w:r>
      <w:r w:rsidR="000E460A">
        <w:rPr>
          <w:rFonts w:ascii="Arial" w:hAnsi="Arial"/>
        </w:rPr>
        <w:fldChar w:fldCharType="begin">
          <w:ffData>
            <w:name w:val="Text60"/>
            <w:enabled/>
            <w:calcOnExit w:val="0"/>
            <w:textInput>
              <w:type w:val="date"/>
            </w:textInput>
          </w:ffData>
        </w:fldChar>
      </w:r>
      <w:bookmarkStart w:id="3" w:name="Text60"/>
      <w:r w:rsidR="000E460A">
        <w:rPr>
          <w:rFonts w:ascii="Arial" w:hAnsi="Arial"/>
        </w:rPr>
        <w:instrText xml:space="preserve"> FORMTEXT </w:instrText>
      </w:r>
      <w:r w:rsidR="000E460A">
        <w:rPr>
          <w:rFonts w:ascii="Arial" w:hAnsi="Arial"/>
        </w:rPr>
      </w:r>
      <w:r w:rsidR="000E460A">
        <w:rPr>
          <w:rFonts w:ascii="Arial" w:hAnsi="Arial"/>
        </w:rPr>
        <w:fldChar w:fldCharType="separate"/>
      </w:r>
      <w:r w:rsidR="000E460A">
        <w:rPr>
          <w:rFonts w:ascii="Arial" w:hAnsi="Arial"/>
          <w:noProof/>
        </w:rPr>
        <w:t> </w:t>
      </w:r>
      <w:r w:rsidR="000E460A">
        <w:rPr>
          <w:rFonts w:ascii="Arial" w:hAnsi="Arial"/>
          <w:noProof/>
        </w:rPr>
        <w:t> </w:t>
      </w:r>
      <w:r w:rsidR="000E460A">
        <w:rPr>
          <w:rFonts w:ascii="Arial" w:hAnsi="Arial"/>
          <w:noProof/>
        </w:rPr>
        <w:t> </w:t>
      </w:r>
      <w:r w:rsidR="000E460A">
        <w:rPr>
          <w:rFonts w:ascii="Arial" w:hAnsi="Arial"/>
          <w:noProof/>
        </w:rPr>
        <w:t> </w:t>
      </w:r>
      <w:r w:rsidR="000E460A">
        <w:rPr>
          <w:rFonts w:ascii="Arial" w:hAnsi="Arial"/>
          <w:noProof/>
        </w:rPr>
        <w:t> </w:t>
      </w:r>
      <w:r w:rsidR="000E460A">
        <w:rPr>
          <w:rFonts w:ascii="Arial" w:hAnsi="Arial"/>
        </w:rPr>
        <w:fldChar w:fldCharType="end"/>
      </w:r>
      <w:bookmarkEnd w:id="3"/>
    </w:p>
    <w:p w:rsidR="00730C0D" w:rsidRDefault="00730C0D" w:rsidP="00730C0D">
      <w:pPr>
        <w:rPr>
          <w:rFonts w:ascii="Arial" w:hAnsi="Arial"/>
        </w:rPr>
      </w:pPr>
    </w:p>
    <w:p w:rsidR="00730C0D" w:rsidRDefault="00730C0D" w:rsidP="00730C0D">
      <w:pPr>
        <w:rPr>
          <w:rFonts w:ascii="Arial" w:hAnsi="Arial"/>
        </w:rPr>
      </w:pPr>
      <w:r>
        <w:rPr>
          <w:rFonts w:ascii="Arial" w:hAnsi="Arial"/>
        </w:rPr>
        <w:t>Mandatory review of probationary faculty shall occur in the first, second, fourth and sixth years of employment.</w:t>
      </w:r>
    </w:p>
    <w:p w:rsidR="00730C0D" w:rsidRDefault="00730C0D" w:rsidP="00730C0D">
      <w:pPr>
        <w:rPr>
          <w:rFonts w:ascii="Arial" w:hAnsi="Arial"/>
        </w:rPr>
      </w:pPr>
    </w:p>
    <w:p w:rsidR="00730C0D" w:rsidRDefault="00730C0D" w:rsidP="00730C0D">
      <w:pPr>
        <w:pStyle w:val="BodyText"/>
        <w:rPr>
          <w:sz w:val="20"/>
        </w:rPr>
      </w:pPr>
      <w:r>
        <w:rPr>
          <w:sz w:val="20"/>
        </w:rPr>
        <w:t>In second-year (fourth-year) reviews, the Board of Trustees may authorize a faculty member to proceed to the fourth (sixth) year review.  In these cases the employment of the faculty member will continue through the fifth (seventh) year.  The department faculty, the chair, the college tenure and promotion committee, the dean, the University tenure and promotion committee, or the Provost for Academic Affairs may request an additional review in the spring of the third (fifth) year.  In these cases, the employment of the faculty member may continue through the fourth (sixth) year.  The Provost for Academic Affairs will generally support a majority request at any level for an optional-year review.</w:t>
      </w:r>
    </w:p>
    <w:p w:rsidR="00730C0D" w:rsidRDefault="00730C0D" w:rsidP="00730C0D">
      <w:pPr>
        <w:rPr>
          <w:rFonts w:ascii="Arial" w:hAnsi="Arial"/>
        </w:rPr>
      </w:pPr>
    </w:p>
    <w:p w:rsidR="00730C0D" w:rsidRDefault="00730C0D" w:rsidP="00730C0D">
      <w:pPr>
        <w:rPr>
          <w:rFonts w:ascii="Arial" w:hAnsi="Arial"/>
        </w:rPr>
      </w:pPr>
      <w:r>
        <w:rPr>
          <w:rFonts w:ascii="Arial" w:hAnsi="Arial"/>
          <w:b/>
        </w:rPr>
        <w:t>Decision Type</w:t>
      </w:r>
      <w:r>
        <w:rPr>
          <w:rFonts w:ascii="Arial" w:hAnsi="Arial"/>
        </w:rPr>
        <w:tab/>
      </w:r>
      <w:r>
        <w:rPr>
          <w:rFonts w:ascii="Arial" w:hAnsi="Arial"/>
        </w:rPr>
        <w:tab/>
      </w:r>
      <w:r>
        <w:rPr>
          <w:rFonts w:ascii="Arial" w:hAnsi="Arial"/>
        </w:rPr>
        <w:tab/>
      </w:r>
      <w:r>
        <w:rPr>
          <w:rFonts w:ascii="Arial" w:hAnsi="Arial"/>
          <w:b/>
        </w:rPr>
        <w:t>Year Reviewed</w:t>
      </w:r>
      <w:r>
        <w:rPr>
          <w:rFonts w:ascii="Arial" w:hAnsi="Arial"/>
        </w:rPr>
        <w:tab/>
      </w:r>
      <w:r>
        <w:rPr>
          <w:rFonts w:ascii="Arial" w:hAnsi="Arial"/>
        </w:rPr>
        <w:tab/>
      </w:r>
      <w:r>
        <w:rPr>
          <w:rFonts w:ascii="Arial" w:hAnsi="Arial"/>
        </w:rPr>
        <w:tab/>
      </w:r>
      <w:r>
        <w:rPr>
          <w:rFonts w:ascii="Arial" w:hAnsi="Arial"/>
          <w:b/>
        </w:rPr>
        <w:t>Reappointed Through</w:t>
      </w:r>
    </w:p>
    <w:p w:rsidR="00730C0D" w:rsidRDefault="00730C0D" w:rsidP="00730C0D">
      <w:pPr>
        <w:rPr>
          <w:rFonts w:ascii="Arial" w:hAnsi="Arial"/>
        </w:rPr>
      </w:pPr>
    </w:p>
    <w:p w:rsidR="00730C0D" w:rsidRDefault="00730C0D" w:rsidP="00730C0D">
      <w:pPr>
        <w:rPr>
          <w:rFonts w:ascii="Arial" w:hAnsi="Arial"/>
        </w:rPr>
      </w:pPr>
      <w:r>
        <w:rPr>
          <w:rFonts w:ascii="Arial" w:hAnsi="Arial"/>
        </w:rPr>
        <w:t>1</w:t>
      </w:r>
      <w:r>
        <w:rPr>
          <w:rFonts w:ascii="Arial" w:hAnsi="Arial"/>
          <w:vertAlign w:val="superscript"/>
        </w:rPr>
        <w:t>st</w:t>
      </w:r>
      <w:r>
        <w:rPr>
          <w:rFonts w:ascii="Arial" w:hAnsi="Arial"/>
        </w:rPr>
        <w:t xml:space="preserve"> year review</w:t>
      </w:r>
      <w:r>
        <w:rPr>
          <w:rFonts w:ascii="Arial" w:hAnsi="Arial"/>
        </w:rPr>
        <w:tab/>
      </w:r>
      <w:r>
        <w:rPr>
          <w:rFonts w:ascii="Arial" w:hAnsi="Arial"/>
        </w:rPr>
        <w:tab/>
      </w:r>
      <w:r>
        <w:rPr>
          <w:rFonts w:ascii="Arial" w:hAnsi="Arial"/>
        </w:rPr>
        <w:tab/>
      </w:r>
      <w:bookmarkStart w:id="4" w:name="Text61"/>
      <w:r>
        <w:rPr>
          <w:rFonts w:ascii="Arial" w:hAnsi="Arial"/>
        </w:rPr>
        <w:fldChar w:fldCharType="begin">
          <w:ffData>
            <w:name w:val="Text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5" w:name="_GoBack"/>
      <w:bookmarkEnd w:id="5"/>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r>
        <w:rPr>
          <w:rFonts w:ascii="Arial" w:hAnsi="Arial"/>
        </w:rPr>
        <w:tab/>
      </w:r>
      <w:r>
        <w:rPr>
          <w:rFonts w:ascii="Arial" w:hAnsi="Arial"/>
        </w:rPr>
        <w:tab/>
      </w:r>
      <w:bookmarkStart w:id="6" w:name="Text62"/>
      <w:r>
        <w:rPr>
          <w:rFonts w:ascii="Arial" w:hAnsi="Arial"/>
        </w:rPr>
        <w:tab/>
      </w:r>
      <w:r>
        <w:rPr>
          <w:rFonts w:ascii="Arial" w:hAnsi="Arial"/>
        </w:rPr>
        <w:tab/>
      </w: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730C0D" w:rsidRDefault="00730C0D" w:rsidP="00730C0D">
      <w:pPr>
        <w:rPr>
          <w:rFonts w:ascii="Arial" w:hAnsi="Arial"/>
        </w:rPr>
      </w:pPr>
    </w:p>
    <w:p w:rsidR="00730C0D" w:rsidRDefault="00730C0D" w:rsidP="00730C0D">
      <w:pPr>
        <w:rPr>
          <w:rFonts w:ascii="Arial" w:hAnsi="Arial"/>
        </w:rPr>
      </w:pPr>
      <w:r>
        <w:rPr>
          <w:rFonts w:ascii="Arial" w:hAnsi="Arial"/>
        </w:rPr>
        <w:t>2</w:t>
      </w:r>
      <w:r>
        <w:rPr>
          <w:rFonts w:ascii="Arial" w:hAnsi="Arial"/>
          <w:vertAlign w:val="superscript"/>
        </w:rPr>
        <w:t>nd</w:t>
      </w:r>
      <w:r>
        <w:rPr>
          <w:rFonts w:ascii="Arial" w:hAnsi="Arial"/>
        </w:rPr>
        <w:t xml:space="preserve"> year review</w:t>
      </w:r>
      <w:r>
        <w:rPr>
          <w:rFonts w:ascii="Arial" w:hAnsi="Arial"/>
        </w:rPr>
        <w:tab/>
      </w:r>
      <w:r>
        <w:rPr>
          <w:rFonts w:ascii="Arial" w:hAnsi="Arial"/>
        </w:rPr>
        <w:tab/>
      </w:r>
      <w:r>
        <w:rPr>
          <w:rFonts w:ascii="Arial" w:hAnsi="Arial"/>
        </w:rPr>
        <w:tab/>
      </w:r>
      <w:bookmarkStart w:id="7" w:name="Text63"/>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ab/>
      </w:r>
      <w:r>
        <w:rPr>
          <w:rFonts w:ascii="Arial" w:hAnsi="Arial"/>
        </w:rPr>
        <w:tab/>
      </w:r>
      <w:r>
        <w:rPr>
          <w:rFonts w:ascii="Arial" w:hAnsi="Arial"/>
        </w:rPr>
        <w:tab/>
      </w:r>
      <w:r>
        <w:rPr>
          <w:rFonts w:ascii="Arial" w:hAnsi="Arial"/>
        </w:rPr>
        <w:tab/>
      </w:r>
      <w:bookmarkStart w:id="8" w:name="Text64"/>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730C0D" w:rsidRDefault="00730C0D" w:rsidP="00730C0D">
      <w:pPr>
        <w:rPr>
          <w:rFonts w:ascii="Arial" w:hAnsi="Arial"/>
        </w:rPr>
      </w:pPr>
    </w:p>
    <w:p w:rsidR="00730C0D" w:rsidRDefault="00730C0D" w:rsidP="00730C0D">
      <w:pPr>
        <w:rPr>
          <w:rFonts w:ascii="Arial" w:hAnsi="Arial"/>
        </w:rPr>
      </w:pPr>
      <w:r>
        <w:rPr>
          <w:rFonts w:ascii="Arial" w:hAnsi="Arial"/>
        </w:rPr>
        <w:t>3</w:t>
      </w:r>
      <w:r>
        <w:rPr>
          <w:rFonts w:ascii="Arial" w:hAnsi="Arial"/>
          <w:vertAlign w:val="superscript"/>
        </w:rPr>
        <w:t>rd</w:t>
      </w:r>
      <w:r>
        <w:rPr>
          <w:rFonts w:ascii="Arial" w:hAnsi="Arial"/>
        </w:rPr>
        <w:t xml:space="preserve"> year review (if required)</w:t>
      </w:r>
      <w:r>
        <w:rPr>
          <w:rFonts w:ascii="Arial" w:hAnsi="Arial"/>
        </w:rPr>
        <w:tab/>
      </w:r>
      <w:bookmarkStart w:id="9" w:name="Text65"/>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ab/>
      </w:r>
      <w:r>
        <w:rPr>
          <w:rFonts w:ascii="Arial" w:hAnsi="Arial"/>
        </w:rPr>
        <w:tab/>
      </w:r>
      <w:r>
        <w:rPr>
          <w:rFonts w:ascii="Arial" w:hAnsi="Arial"/>
        </w:rPr>
        <w:tab/>
      </w:r>
      <w:r>
        <w:rPr>
          <w:rFonts w:ascii="Arial" w:hAnsi="Arial"/>
        </w:rPr>
        <w:tab/>
      </w:r>
      <w:bookmarkStart w:id="10" w:name="Text66"/>
      <w:r>
        <w:rPr>
          <w:rFonts w:ascii="Arial" w:hAnsi="Arial"/>
        </w:rPr>
        <w:fldChar w:fldCharType="begin">
          <w:ffData>
            <w:name w:val="Text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730C0D" w:rsidRDefault="00730C0D" w:rsidP="00730C0D">
      <w:pPr>
        <w:rPr>
          <w:rFonts w:ascii="Arial" w:hAnsi="Arial"/>
        </w:rPr>
      </w:pPr>
    </w:p>
    <w:p w:rsidR="00730C0D" w:rsidRDefault="00730C0D" w:rsidP="00730C0D">
      <w:pPr>
        <w:rPr>
          <w:rFonts w:ascii="Arial" w:hAnsi="Arial"/>
        </w:rPr>
      </w:pPr>
      <w:r>
        <w:rPr>
          <w:rFonts w:ascii="Arial" w:hAnsi="Arial"/>
        </w:rPr>
        <w:t>4</w:t>
      </w:r>
      <w:r>
        <w:rPr>
          <w:rFonts w:ascii="Arial" w:hAnsi="Arial"/>
          <w:vertAlign w:val="superscript"/>
        </w:rPr>
        <w:t>th</w:t>
      </w:r>
      <w:r>
        <w:rPr>
          <w:rFonts w:ascii="Arial" w:hAnsi="Arial"/>
        </w:rPr>
        <w:t xml:space="preserve"> year review</w:t>
      </w:r>
      <w:r>
        <w:rPr>
          <w:rFonts w:ascii="Arial" w:hAnsi="Arial"/>
        </w:rPr>
        <w:tab/>
      </w:r>
      <w:r>
        <w:rPr>
          <w:rFonts w:ascii="Arial" w:hAnsi="Arial"/>
        </w:rPr>
        <w:tab/>
      </w:r>
      <w:r>
        <w:rPr>
          <w:rFonts w:ascii="Arial" w:hAnsi="Arial"/>
        </w:rPr>
        <w:tab/>
      </w:r>
      <w:bookmarkStart w:id="11" w:name="Text67"/>
      <w:r>
        <w:rPr>
          <w:rFonts w:ascii="Arial" w:hAnsi="Arial"/>
        </w:rPr>
        <w:fldChar w:fldCharType="begin">
          <w:ffData>
            <w:name w:val="Text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Pr>
          <w:rFonts w:ascii="Arial" w:hAnsi="Arial"/>
        </w:rPr>
        <w:tab/>
      </w:r>
      <w:r>
        <w:rPr>
          <w:rFonts w:ascii="Arial" w:hAnsi="Arial"/>
        </w:rPr>
        <w:tab/>
      </w:r>
      <w:r>
        <w:rPr>
          <w:rFonts w:ascii="Arial" w:hAnsi="Arial"/>
        </w:rPr>
        <w:tab/>
      </w:r>
      <w:r>
        <w:rPr>
          <w:rFonts w:ascii="Arial" w:hAnsi="Arial"/>
        </w:rPr>
        <w:tab/>
      </w:r>
      <w:bookmarkStart w:id="12" w:name="Text68"/>
      <w:r>
        <w:rPr>
          <w:rFonts w:ascii="Arial" w:hAnsi="Arial"/>
        </w:rPr>
        <w:fldChar w:fldCharType="begin">
          <w:ffData>
            <w:name w:val="Text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730C0D" w:rsidRDefault="00730C0D" w:rsidP="00730C0D">
      <w:pPr>
        <w:rPr>
          <w:rFonts w:ascii="Arial" w:hAnsi="Arial"/>
        </w:rPr>
      </w:pPr>
    </w:p>
    <w:p w:rsidR="00730C0D" w:rsidRDefault="00730C0D" w:rsidP="00730C0D">
      <w:pPr>
        <w:rPr>
          <w:rFonts w:ascii="Arial" w:hAnsi="Arial"/>
        </w:rPr>
      </w:pPr>
      <w:r>
        <w:rPr>
          <w:rFonts w:ascii="Arial" w:hAnsi="Arial"/>
        </w:rPr>
        <w:t>5</w:t>
      </w:r>
      <w:r>
        <w:rPr>
          <w:rFonts w:ascii="Arial" w:hAnsi="Arial"/>
          <w:vertAlign w:val="superscript"/>
        </w:rPr>
        <w:t>th</w:t>
      </w:r>
      <w:r>
        <w:rPr>
          <w:rFonts w:ascii="Arial" w:hAnsi="Arial"/>
        </w:rPr>
        <w:t xml:space="preserve"> year review (if required)</w:t>
      </w:r>
      <w:r>
        <w:rPr>
          <w:rFonts w:ascii="Arial" w:hAnsi="Arial"/>
        </w:rPr>
        <w:tab/>
      </w:r>
      <w:bookmarkStart w:id="13" w:name="Text69"/>
      <w:r>
        <w:rPr>
          <w:rFonts w:ascii="Arial" w:hAnsi="Arial"/>
        </w:rPr>
        <w:fldChar w:fldCharType="begin">
          <w:ffData>
            <w:name w:val="Text6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ab/>
      </w:r>
      <w:r>
        <w:rPr>
          <w:rFonts w:ascii="Arial" w:hAnsi="Arial"/>
        </w:rPr>
        <w:tab/>
      </w:r>
      <w:r>
        <w:rPr>
          <w:rFonts w:ascii="Arial" w:hAnsi="Arial"/>
        </w:rPr>
        <w:tab/>
      </w:r>
      <w:r>
        <w:rPr>
          <w:rFonts w:ascii="Arial" w:hAnsi="Arial"/>
        </w:rPr>
        <w:tab/>
      </w:r>
      <w:bookmarkStart w:id="14" w:name="Text70"/>
      <w:r>
        <w:rPr>
          <w:rFonts w:ascii="Arial" w:hAnsi="Arial"/>
        </w:rPr>
        <w:fldChar w:fldCharType="begin">
          <w:ffData>
            <w:name w:val="Text7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730C0D" w:rsidRDefault="00730C0D" w:rsidP="00730C0D">
      <w:pPr>
        <w:rPr>
          <w:rFonts w:ascii="Arial" w:hAnsi="Arial"/>
        </w:rPr>
      </w:pPr>
    </w:p>
    <w:p w:rsidR="00730C0D" w:rsidRDefault="00730C0D" w:rsidP="00730C0D">
      <w:pPr>
        <w:rPr>
          <w:rFonts w:ascii="Arial" w:hAnsi="Arial"/>
        </w:rPr>
      </w:pPr>
      <w:r>
        <w:rPr>
          <w:rFonts w:ascii="Arial" w:hAnsi="Arial"/>
        </w:rPr>
        <w:t>6</w:t>
      </w:r>
      <w:r>
        <w:rPr>
          <w:rFonts w:ascii="Arial" w:hAnsi="Arial"/>
          <w:vertAlign w:val="superscript"/>
        </w:rPr>
        <w:t>th</w:t>
      </w:r>
      <w:r>
        <w:rPr>
          <w:rFonts w:ascii="Arial" w:hAnsi="Arial"/>
        </w:rPr>
        <w:t xml:space="preserve"> year review</w:t>
      </w:r>
      <w:r>
        <w:rPr>
          <w:rFonts w:ascii="Arial" w:hAnsi="Arial"/>
        </w:rPr>
        <w:tab/>
      </w:r>
      <w:r>
        <w:rPr>
          <w:rFonts w:ascii="Arial" w:hAnsi="Arial"/>
        </w:rPr>
        <w:tab/>
      </w:r>
      <w:r>
        <w:rPr>
          <w:rFonts w:ascii="Arial" w:hAnsi="Arial"/>
        </w:rPr>
        <w:tab/>
      </w:r>
      <w:bookmarkStart w:id="15" w:name="Text71"/>
      <w:r>
        <w:rPr>
          <w:rFonts w:ascii="Arial" w:hAnsi="Arial"/>
        </w:rPr>
        <w:fldChar w:fldCharType="begin">
          <w:ffData>
            <w:name w:val="Text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ab/>
      </w:r>
      <w:r>
        <w:rPr>
          <w:rFonts w:ascii="Arial" w:hAnsi="Arial"/>
        </w:rPr>
        <w:tab/>
      </w:r>
      <w:r>
        <w:rPr>
          <w:rFonts w:ascii="Arial" w:hAnsi="Arial"/>
        </w:rPr>
        <w:tab/>
      </w:r>
      <w:r>
        <w:rPr>
          <w:rFonts w:ascii="Arial" w:hAnsi="Arial"/>
        </w:rPr>
        <w:tab/>
      </w:r>
      <w:bookmarkStart w:id="16" w:name="Text72"/>
      <w:r>
        <w:rPr>
          <w:rFonts w:ascii="Arial" w:hAnsi="Arial"/>
        </w:rPr>
        <w:fldChar w:fldCharType="begin">
          <w:ffData>
            <w:name w:val="Text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730C0D" w:rsidRDefault="00730C0D" w:rsidP="00730C0D">
      <w:pPr>
        <w:rPr>
          <w:rFonts w:ascii="Arial" w:hAnsi="Arial"/>
        </w:rPr>
      </w:pPr>
    </w:p>
    <w:p w:rsidR="00730C0D" w:rsidRDefault="00730C0D" w:rsidP="00730C0D">
      <w:pPr>
        <w:rPr>
          <w:rFonts w:ascii="Arial" w:hAnsi="Arial"/>
        </w:rPr>
      </w:pPr>
      <w:r>
        <w:rPr>
          <w:rFonts w:ascii="Arial" w:hAnsi="Arial"/>
        </w:rPr>
        <w:t>Mandatory tenure vote</w:t>
      </w:r>
      <w:r>
        <w:rPr>
          <w:rFonts w:ascii="Arial" w:hAnsi="Arial"/>
        </w:rPr>
        <w:tab/>
      </w:r>
      <w:r>
        <w:rPr>
          <w:rFonts w:ascii="Arial" w:hAnsi="Arial"/>
        </w:rPr>
        <w:tab/>
      </w:r>
      <w:bookmarkStart w:id="17" w:name="Text73"/>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730C0D" w:rsidRDefault="00730C0D" w:rsidP="00730C0D">
      <w:pPr>
        <w:rPr>
          <w:rFonts w:ascii="Arial" w:hAnsi="Arial"/>
        </w:rPr>
      </w:pPr>
    </w:p>
    <w:p w:rsidR="00730C0D" w:rsidRDefault="00730C0D" w:rsidP="00730C0D">
      <w:pPr>
        <w:rPr>
          <w:rFonts w:ascii="Arial" w:hAnsi="Arial"/>
        </w:rPr>
      </w:pPr>
      <w:r>
        <w:rPr>
          <w:rFonts w:ascii="Arial" w:hAnsi="Arial"/>
        </w:rPr>
        <w:t xml:space="preserve">Promotion to Assoc. Professor   </w:t>
      </w:r>
      <w:bookmarkStart w:id="18" w:name="Text74"/>
      <w:r>
        <w:rPr>
          <w:rFonts w:ascii="Arial" w:hAnsi="Arial"/>
        </w:rPr>
        <w:fldChar w:fldCharType="begin">
          <w:ffData>
            <w:name w:val="Text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730C0D" w:rsidRDefault="00730C0D" w:rsidP="00730C0D">
      <w:pPr>
        <w:rPr>
          <w:rFonts w:ascii="Arial" w:hAnsi="Arial"/>
        </w:rPr>
      </w:pPr>
    </w:p>
    <w:p w:rsidR="00730C0D" w:rsidRDefault="00730C0D" w:rsidP="00730C0D">
      <w:pPr>
        <w:rPr>
          <w:rFonts w:ascii="Arial" w:hAnsi="Arial"/>
        </w:rPr>
      </w:pPr>
    </w:p>
    <w:p w:rsidR="00730C0D" w:rsidRDefault="00730C0D" w:rsidP="00730C0D">
      <w:pPr>
        <w:pStyle w:val="BodyText"/>
        <w:rPr>
          <w:sz w:val="20"/>
        </w:rPr>
      </w:pPr>
      <w:r>
        <w:rPr>
          <w:sz w:val="20"/>
        </w:rPr>
        <w:t>If the candidate has received credit toward tenure for previous service, please attach the letter of hire that specifies the details and indicate the year of the mandatory tenure vote above.  For example, a faculty member beginning at UW with one year’s credit toward tenure has the first-year review during the first year of employment and the third-year review during the second year of employment.  It is inadvisable to skip optional third- and fifth-year reviews of candidates who have credit toward tenure.</w:t>
      </w:r>
    </w:p>
    <w:p w:rsidR="005B06AA" w:rsidRDefault="005B06AA" w:rsidP="00730C0D"/>
    <w:sectPr w:rsidR="005B06AA" w:rsidSect="00B435F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0D"/>
    <w:rsid w:val="000E460A"/>
    <w:rsid w:val="001963BC"/>
    <w:rsid w:val="00564AFC"/>
    <w:rsid w:val="005B06AA"/>
    <w:rsid w:val="00730C0D"/>
    <w:rsid w:val="009750C5"/>
    <w:rsid w:val="00B435FB"/>
    <w:rsid w:val="00D47C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0D"/>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sid w:val="00730C0D"/>
    <w:pPr>
      <w:jc w:val="both"/>
    </w:pPr>
    <w:rPr>
      <w:rFonts w:ascii="Arial" w:hAnsi="Arial"/>
      <w:sz w:val="22"/>
    </w:rPr>
  </w:style>
  <w:style w:type="character" w:customStyle="1" w:styleId="BodyTextChar">
    <w:name w:val="Body Text Char"/>
    <w:aliases w:val="address Char"/>
    <w:basedOn w:val="DefaultParagraphFont"/>
    <w:link w:val="BodyText"/>
    <w:rsid w:val="00730C0D"/>
    <w:rPr>
      <w:rFonts w:ascii="Arial" w:eastAsia="Times New Roman" w:hAnsi="Arial" w:cs="Times New Roman"/>
      <w:sz w:val="22"/>
      <w:szCs w:val="20"/>
      <w:lang w:eastAsia="en-US"/>
    </w:rPr>
  </w:style>
  <w:style w:type="paragraph" w:styleId="Title">
    <w:name w:val="Title"/>
    <w:basedOn w:val="Normal"/>
    <w:link w:val="TitleChar"/>
    <w:qFormat/>
    <w:rsid w:val="00730C0D"/>
    <w:pPr>
      <w:spacing w:before="360"/>
      <w:jc w:val="center"/>
      <w:outlineLvl w:val="0"/>
    </w:pPr>
    <w:rPr>
      <w:b/>
      <w:sz w:val="24"/>
    </w:rPr>
  </w:style>
  <w:style w:type="character" w:customStyle="1" w:styleId="TitleChar">
    <w:name w:val="Title Char"/>
    <w:basedOn w:val="DefaultParagraphFont"/>
    <w:link w:val="Title"/>
    <w:rsid w:val="00730C0D"/>
    <w:rPr>
      <w:rFonts w:ascii="Times New Roman" w:eastAsia="Times New Roman" w:hAnsi="Times New Roman" w:cs="Times New Roman"/>
      <w:b/>
      <w:szCs w:val="20"/>
      <w:lang w:eastAsia="en-US"/>
    </w:rPr>
  </w:style>
  <w:style w:type="paragraph" w:styleId="Subtitle">
    <w:name w:val="Subtitle"/>
    <w:basedOn w:val="Normal"/>
    <w:link w:val="SubtitleChar"/>
    <w:qFormat/>
    <w:rsid w:val="00730C0D"/>
    <w:rPr>
      <w:sz w:val="24"/>
    </w:rPr>
  </w:style>
  <w:style w:type="character" w:customStyle="1" w:styleId="SubtitleChar">
    <w:name w:val="Subtitle Char"/>
    <w:basedOn w:val="DefaultParagraphFont"/>
    <w:link w:val="Subtitle"/>
    <w:rsid w:val="00730C0D"/>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0D"/>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sid w:val="00730C0D"/>
    <w:pPr>
      <w:jc w:val="both"/>
    </w:pPr>
    <w:rPr>
      <w:rFonts w:ascii="Arial" w:hAnsi="Arial"/>
      <w:sz w:val="22"/>
    </w:rPr>
  </w:style>
  <w:style w:type="character" w:customStyle="1" w:styleId="BodyTextChar">
    <w:name w:val="Body Text Char"/>
    <w:aliases w:val="address Char"/>
    <w:basedOn w:val="DefaultParagraphFont"/>
    <w:link w:val="BodyText"/>
    <w:rsid w:val="00730C0D"/>
    <w:rPr>
      <w:rFonts w:ascii="Arial" w:eastAsia="Times New Roman" w:hAnsi="Arial" w:cs="Times New Roman"/>
      <w:sz w:val="22"/>
      <w:szCs w:val="20"/>
      <w:lang w:eastAsia="en-US"/>
    </w:rPr>
  </w:style>
  <w:style w:type="paragraph" w:styleId="Title">
    <w:name w:val="Title"/>
    <w:basedOn w:val="Normal"/>
    <w:link w:val="TitleChar"/>
    <w:qFormat/>
    <w:rsid w:val="00730C0D"/>
    <w:pPr>
      <w:spacing w:before="360"/>
      <w:jc w:val="center"/>
      <w:outlineLvl w:val="0"/>
    </w:pPr>
    <w:rPr>
      <w:b/>
      <w:sz w:val="24"/>
    </w:rPr>
  </w:style>
  <w:style w:type="character" w:customStyle="1" w:styleId="TitleChar">
    <w:name w:val="Title Char"/>
    <w:basedOn w:val="DefaultParagraphFont"/>
    <w:link w:val="Title"/>
    <w:rsid w:val="00730C0D"/>
    <w:rPr>
      <w:rFonts w:ascii="Times New Roman" w:eastAsia="Times New Roman" w:hAnsi="Times New Roman" w:cs="Times New Roman"/>
      <w:b/>
      <w:szCs w:val="20"/>
      <w:lang w:eastAsia="en-US"/>
    </w:rPr>
  </w:style>
  <w:style w:type="paragraph" w:styleId="Subtitle">
    <w:name w:val="Subtitle"/>
    <w:basedOn w:val="Normal"/>
    <w:link w:val="SubtitleChar"/>
    <w:qFormat/>
    <w:rsid w:val="00730C0D"/>
    <w:rPr>
      <w:sz w:val="24"/>
    </w:rPr>
  </w:style>
  <w:style w:type="character" w:customStyle="1" w:styleId="SubtitleChar">
    <w:name w:val="Subtitle Char"/>
    <w:basedOn w:val="DefaultParagraphFont"/>
    <w:link w:val="Subtitle"/>
    <w:rsid w:val="00730C0D"/>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Company>University of Wyoming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Aneesa McDonald</dc:creator>
  <cp:keywords/>
  <dc:description/>
  <cp:lastModifiedBy>Justin P. McDonald</cp:lastModifiedBy>
  <cp:revision>2</cp:revision>
  <dcterms:created xsi:type="dcterms:W3CDTF">2015-06-11T21:36:00Z</dcterms:created>
  <dcterms:modified xsi:type="dcterms:W3CDTF">2015-07-23T21:10:00Z</dcterms:modified>
</cp:coreProperties>
</file>