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D56" w:rsidRPr="00DF7D56" w:rsidRDefault="00DF7D56" w:rsidP="00DF7D56">
      <w:pPr>
        <w:shd w:val="clear" w:color="auto" w:fill="FFFFFF"/>
        <w:spacing w:before="300" w:after="150" w:line="240" w:lineRule="auto"/>
        <w:outlineLvl w:val="1"/>
        <w:rPr>
          <w:rFonts w:ascii="Verdana" w:eastAsia="Times New Roman" w:hAnsi="Verdana" w:cs="Times New Roman"/>
          <w:b/>
          <w:bCs/>
          <w:caps/>
          <w:color w:val="492F24"/>
          <w:sz w:val="27"/>
          <w:szCs w:val="27"/>
        </w:rPr>
      </w:pPr>
      <w:r w:rsidRPr="00DF7D56">
        <w:rPr>
          <w:rFonts w:ascii="Verdana" w:eastAsia="Times New Roman" w:hAnsi="Verdana" w:cs="Times New Roman"/>
          <w:b/>
          <w:bCs/>
          <w:caps/>
          <w:color w:val="492F24"/>
          <w:sz w:val="27"/>
          <w:szCs w:val="27"/>
        </w:rPr>
        <w:t>PROCESS AND REQUIREMENTS FOR APPROVAL OF ADDITION OR ELIMINATION OF A MINOR:</w:t>
      </w:r>
    </w:p>
    <w:p w:rsidR="00DF7D56" w:rsidRPr="00DF7D56" w:rsidRDefault="00DF7D56" w:rsidP="00DF7D56">
      <w:pPr>
        <w:numPr>
          <w:ilvl w:val="0"/>
          <w:numId w:val="1"/>
        </w:numPr>
        <w:shd w:val="clear" w:color="auto" w:fill="FFFFFF"/>
        <w:spacing w:after="150" w:line="240" w:lineRule="auto"/>
        <w:rPr>
          <w:rFonts w:ascii="Verdana" w:eastAsia="Times New Roman" w:hAnsi="Verdana" w:cs="Helvetica"/>
          <w:color w:val="492F24"/>
          <w:sz w:val="19"/>
          <w:szCs w:val="19"/>
        </w:rPr>
      </w:pPr>
      <w:r w:rsidRPr="00DF7D56">
        <w:rPr>
          <w:rFonts w:ascii="Verdana" w:eastAsia="Times New Roman" w:hAnsi="Verdana" w:cs="Helvetica"/>
          <w:color w:val="492F24"/>
          <w:sz w:val="19"/>
          <w:szCs w:val="19"/>
        </w:rPr>
        <w:t>The department head/program director proposing the addition or elimination of a minor will submit the proposal to the responsible Dean(s).  Proposals shall include:</w:t>
      </w:r>
    </w:p>
    <w:p w:rsidR="00DF7D56" w:rsidRPr="00DF7D56" w:rsidRDefault="00DF7D56" w:rsidP="00DF7D56">
      <w:pPr>
        <w:numPr>
          <w:ilvl w:val="1"/>
          <w:numId w:val="1"/>
        </w:numPr>
        <w:shd w:val="clear" w:color="auto" w:fill="FFFFFF"/>
        <w:spacing w:after="150" w:line="240" w:lineRule="auto"/>
        <w:rPr>
          <w:rFonts w:ascii="Verdana" w:eastAsia="Times New Roman" w:hAnsi="Verdana" w:cs="Helvetica"/>
          <w:color w:val="492F24"/>
          <w:sz w:val="19"/>
          <w:szCs w:val="19"/>
        </w:rPr>
      </w:pPr>
      <w:r w:rsidRPr="00DF7D56">
        <w:rPr>
          <w:rFonts w:ascii="Verdana" w:eastAsia="Times New Roman" w:hAnsi="Verdana" w:cs="Helvetica"/>
          <w:b/>
          <w:bCs/>
          <w:color w:val="492F24"/>
          <w:sz w:val="19"/>
          <w:szCs w:val="19"/>
        </w:rPr>
        <w:t>Contact information</w:t>
      </w:r>
      <w:r w:rsidRPr="00DF7D56">
        <w:rPr>
          <w:rFonts w:ascii="Verdana" w:eastAsia="Times New Roman" w:hAnsi="Verdana" w:cs="Helvetica"/>
          <w:color w:val="492F24"/>
          <w:sz w:val="19"/>
          <w:szCs w:val="19"/>
        </w:rPr>
        <w:t> for primary </w:t>
      </w:r>
      <w:r w:rsidRPr="00DF7D56">
        <w:rPr>
          <w:rFonts w:ascii="Verdana" w:eastAsia="Times New Roman" w:hAnsi="Verdana" w:cs="Helvetica"/>
          <w:b/>
          <w:bCs/>
          <w:color w:val="492F24"/>
          <w:sz w:val="19"/>
          <w:szCs w:val="19"/>
        </w:rPr>
        <w:t>faculty developers</w:t>
      </w:r>
      <w:r w:rsidRPr="00DF7D56">
        <w:rPr>
          <w:rFonts w:ascii="Verdana" w:eastAsia="Times New Roman" w:hAnsi="Verdana" w:cs="Helvetica"/>
          <w:color w:val="492F24"/>
          <w:sz w:val="19"/>
          <w:szCs w:val="19"/>
        </w:rPr>
        <w:t> and the head of the college’s </w:t>
      </w:r>
      <w:r w:rsidRPr="00DF7D56">
        <w:rPr>
          <w:rFonts w:ascii="Verdana" w:eastAsia="Times New Roman" w:hAnsi="Verdana" w:cs="Helvetica"/>
          <w:b/>
          <w:bCs/>
          <w:color w:val="492F24"/>
          <w:sz w:val="19"/>
          <w:szCs w:val="19"/>
        </w:rPr>
        <w:t>curriculum committee</w:t>
      </w:r>
      <w:r w:rsidRPr="00DF7D56">
        <w:rPr>
          <w:rFonts w:ascii="Verdana" w:eastAsia="Times New Roman" w:hAnsi="Verdana" w:cs="Helvetica"/>
          <w:color w:val="492F24"/>
          <w:sz w:val="19"/>
          <w:szCs w:val="19"/>
        </w:rPr>
        <w:t>.</w:t>
      </w:r>
    </w:p>
    <w:p w:rsidR="00DF7D56" w:rsidRPr="00DF7D56" w:rsidRDefault="00DF7D56" w:rsidP="00DF7D56">
      <w:pPr>
        <w:numPr>
          <w:ilvl w:val="1"/>
          <w:numId w:val="1"/>
        </w:numPr>
        <w:shd w:val="clear" w:color="auto" w:fill="FFFFFF"/>
        <w:spacing w:after="150" w:line="240" w:lineRule="auto"/>
        <w:rPr>
          <w:rFonts w:ascii="Verdana" w:eastAsia="Times New Roman" w:hAnsi="Verdana" w:cs="Helvetica"/>
          <w:color w:val="492F24"/>
          <w:sz w:val="19"/>
          <w:szCs w:val="19"/>
        </w:rPr>
      </w:pPr>
      <w:r w:rsidRPr="00DF7D56">
        <w:rPr>
          <w:rFonts w:ascii="Verdana" w:eastAsia="Times New Roman" w:hAnsi="Verdana" w:cs="Helvetica"/>
          <w:b/>
          <w:bCs/>
          <w:color w:val="492F24"/>
          <w:sz w:val="19"/>
          <w:szCs w:val="19"/>
        </w:rPr>
        <w:t>Course requirements</w:t>
      </w:r>
      <w:r w:rsidRPr="00DF7D56">
        <w:rPr>
          <w:rFonts w:ascii="Verdana" w:eastAsia="Times New Roman" w:hAnsi="Verdana" w:cs="Helvetica"/>
          <w:color w:val="492F24"/>
          <w:sz w:val="19"/>
          <w:szCs w:val="19"/>
        </w:rPr>
        <w:t> with descriptions and </w:t>
      </w:r>
      <w:r w:rsidRPr="00DF7D56">
        <w:rPr>
          <w:rFonts w:ascii="Verdana" w:eastAsia="Times New Roman" w:hAnsi="Verdana" w:cs="Helvetica"/>
          <w:b/>
          <w:bCs/>
          <w:color w:val="492F24"/>
          <w:sz w:val="19"/>
          <w:szCs w:val="19"/>
        </w:rPr>
        <w:t>learning outcomes</w:t>
      </w:r>
      <w:r w:rsidRPr="00DF7D56">
        <w:rPr>
          <w:rFonts w:ascii="Verdana" w:eastAsia="Times New Roman" w:hAnsi="Verdana" w:cs="Helvetica"/>
          <w:color w:val="492F24"/>
          <w:sz w:val="19"/>
          <w:szCs w:val="19"/>
        </w:rPr>
        <w:t> of the minor.</w:t>
      </w:r>
    </w:p>
    <w:p w:rsidR="00DF7D56" w:rsidRPr="00DF7D56" w:rsidRDefault="00DF7D56" w:rsidP="00DF7D56">
      <w:pPr>
        <w:numPr>
          <w:ilvl w:val="1"/>
          <w:numId w:val="1"/>
        </w:numPr>
        <w:shd w:val="clear" w:color="auto" w:fill="FFFFFF"/>
        <w:spacing w:after="150" w:line="240" w:lineRule="auto"/>
        <w:rPr>
          <w:rFonts w:ascii="Verdana" w:eastAsia="Times New Roman" w:hAnsi="Verdana" w:cs="Helvetica"/>
          <w:color w:val="492F24"/>
          <w:sz w:val="19"/>
          <w:szCs w:val="19"/>
        </w:rPr>
      </w:pPr>
      <w:r w:rsidRPr="00DF7D56">
        <w:rPr>
          <w:rFonts w:ascii="Verdana" w:eastAsia="Times New Roman" w:hAnsi="Verdana" w:cs="Helvetica"/>
          <w:color w:val="492F24"/>
          <w:sz w:val="19"/>
          <w:szCs w:val="19"/>
        </w:rPr>
        <w:t>A description of </w:t>
      </w:r>
      <w:r w:rsidRPr="00DF7D56">
        <w:rPr>
          <w:rFonts w:ascii="Verdana" w:eastAsia="Times New Roman" w:hAnsi="Verdana" w:cs="Helvetica"/>
          <w:b/>
          <w:bCs/>
          <w:color w:val="492F24"/>
          <w:sz w:val="19"/>
          <w:szCs w:val="19"/>
        </w:rPr>
        <w:t>why</w:t>
      </w:r>
      <w:r w:rsidRPr="00DF7D56">
        <w:rPr>
          <w:rFonts w:ascii="Verdana" w:eastAsia="Times New Roman" w:hAnsi="Verdana" w:cs="Helvetica"/>
          <w:color w:val="492F24"/>
          <w:sz w:val="19"/>
          <w:szCs w:val="19"/>
        </w:rPr>
        <w:t> each change is sought.  Typically, such rationale should address state need, student demand, employer demand, efficient allocation of resources, and quality.  Specific data is helpful when available, but the rationale need not be lengthy.</w:t>
      </w:r>
    </w:p>
    <w:p w:rsidR="00DF7D56" w:rsidRPr="00DF7D56" w:rsidRDefault="00DF7D56" w:rsidP="00DF7D56">
      <w:pPr>
        <w:numPr>
          <w:ilvl w:val="1"/>
          <w:numId w:val="1"/>
        </w:numPr>
        <w:shd w:val="clear" w:color="auto" w:fill="FFFFFF"/>
        <w:spacing w:after="150" w:line="240" w:lineRule="auto"/>
        <w:rPr>
          <w:rFonts w:ascii="Verdana" w:eastAsia="Times New Roman" w:hAnsi="Verdana" w:cs="Helvetica"/>
          <w:color w:val="492F24"/>
          <w:sz w:val="19"/>
          <w:szCs w:val="19"/>
        </w:rPr>
      </w:pPr>
      <w:r w:rsidRPr="00DF7D56">
        <w:rPr>
          <w:rFonts w:ascii="Verdana" w:eastAsia="Times New Roman" w:hAnsi="Verdana" w:cs="Helvetica"/>
          <w:color w:val="492F24"/>
          <w:sz w:val="19"/>
          <w:szCs w:val="19"/>
        </w:rPr>
        <w:t>If there are multiple minors embedded in the proposal, </w:t>
      </w:r>
      <w:r w:rsidRPr="00DF7D56">
        <w:rPr>
          <w:rFonts w:ascii="Verdana" w:eastAsia="Times New Roman" w:hAnsi="Verdana" w:cs="Helvetica"/>
          <w:b/>
          <w:bCs/>
          <w:color w:val="492F24"/>
          <w:sz w:val="19"/>
          <w:szCs w:val="19"/>
        </w:rPr>
        <w:t>disaggregate</w:t>
      </w:r>
      <w:r w:rsidRPr="00DF7D56">
        <w:rPr>
          <w:rFonts w:ascii="Verdana" w:eastAsia="Times New Roman" w:hAnsi="Verdana" w:cs="Helvetica"/>
          <w:color w:val="492F24"/>
          <w:sz w:val="19"/>
          <w:szCs w:val="19"/>
        </w:rPr>
        <w:t> data and rationales by each proposed minor.</w:t>
      </w:r>
    </w:p>
    <w:p w:rsidR="00DF7D56" w:rsidRPr="00DF7D56" w:rsidRDefault="00DF7D56" w:rsidP="00DF7D56">
      <w:pPr>
        <w:numPr>
          <w:ilvl w:val="1"/>
          <w:numId w:val="1"/>
        </w:numPr>
        <w:shd w:val="clear" w:color="auto" w:fill="FFFFFF"/>
        <w:spacing w:after="150" w:line="240" w:lineRule="auto"/>
        <w:rPr>
          <w:rFonts w:ascii="Verdana" w:eastAsia="Times New Roman" w:hAnsi="Verdana" w:cs="Helvetica"/>
          <w:color w:val="492F24"/>
          <w:sz w:val="19"/>
          <w:szCs w:val="19"/>
        </w:rPr>
      </w:pPr>
      <w:r w:rsidRPr="00DF7D56">
        <w:rPr>
          <w:rFonts w:ascii="Verdana" w:eastAsia="Times New Roman" w:hAnsi="Verdana" w:cs="Helvetica"/>
          <w:color w:val="492F24"/>
          <w:sz w:val="19"/>
          <w:szCs w:val="19"/>
        </w:rPr>
        <w:t>If the proposal is to eliminate a minor, include a </w:t>
      </w:r>
      <w:r w:rsidRPr="00DF7D56">
        <w:rPr>
          <w:rFonts w:ascii="Verdana" w:eastAsia="Times New Roman" w:hAnsi="Verdana" w:cs="Helvetica"/>
          <w:b/>
          <w:bCs/>
          <w:color w:val="492F24"/>
          <w:sz w:val="19"/>
          <w:szCs w:val="19"/>
        </w:rPr>
        <w:t>transition plan</w:t>
      </w:r>
      <w:r w:rsidRPr="00DF7D56">
        <w:rPr>
          <w:rFonts w:ascii="Verdana" w:eastAsia="Times New Roman" w:hAnsi="Verdana" w:cs="Helvetica"/>
          <w:color w:val="492F24"/>
          <w:sz w:val="19"/>
          <w:szCs w:val="19"/>
        </w:rPr>
        <w:t> for students currently enrolled in any minor proposed for elimination, along with how many students pursued that minor over the last three years.</w:t>
      </w:r>
    </w:p>
    <w:p w:rsidR="00DF7D56" w:rsidRPr="00DF7D56" w:rsidRDefault="00DF7D56" w:rsidP="00DF7D56">
      <w:pPr>
        <w:numPr>
          <w:ilvl w:val="1"/>
          <w:numId w:val="1"/>
        </w:numPr>
        <w:shd w:val="clear" w:color="auto" w:fill="FFFFFF"/>
        <w:spacing w:after="150" w:line="240" w:lineRule="auto"/>
        <w:rPr>
          <w:rFonts w:ascii="Verdana" w:eastAsia="Times New Roman" w:hAnsi="Verdana" w:cs="Helvetica"/>
          <w:color w:val="492F24"/>
          <w:sz w:val="19"/>
          <w:szCs w:val="19"/>
        </w:rPr>
      </w:pPr>
      <w:r w:rsidRPr="00DF7D56">
        <w:rPr>
          <w:rFonts w:ascii="Verdana" w:eastAsia="Times New Roman" w:hAnsi="Verdana" w:cs="Helvetica"/>
          <w:color w:val="492F24"/>
          <w:sz w:val="19"/>
          <w:szCs w:val="19"/>
        </w:rPr>
        <w:t>A statement that no new resources are required </w:t>
      </w:r>
      <w:r w:rsidRPr="00DF7D56">
        <w:rPr>
          <w:rFonts w:ascii="Verdana" w:eastAsia="Times New Roman" w:hAnsi="Verdana" w:cs="Helvetica"/>
          <w:b/>
          <w:bCs/>
          <w:color w:val="492F24"/>
          <w:sz w:val="19"/>
          <w:szCs w:val="19"/>
        </w:rPr>
        <w:t>or a description of any anticipated new resources.</w:t>
      </w:r>
    </w:p>
    <w:p w:rsidR="00DF7D56" w:rsidRPr="00DF7D56" w:rsidRDefault="00DF7D56" w:rsidP="00DF7D56">
      <w:pPr>
        <w:numPr>
          <w:ilvl w:val="0"/>
          <w:numId w:val="1"/>
        </w:numPr>
        <w:shd w:val="clear" w:color="auto" w:fill="FFFFFF"/>
        <w:spacing w:after="150" w:line="240" w:lineRule="auto"/>
        <w:rPr>
          <w:rFonts w:ascii="Verdana" w:eastAsia="Times New Roman" w:hAnsi="Verdana" w:cs="Helvetica"/>
          <w:color w:val="492F24"/>
          <w:sz w:val="19"/>
          <w:szCs w:val="19"/>
        </w:rPr>
      </w:pPr>
      <w:r w:rsidRPr="00DF7D56">
        <w:rPr>
          <w:rFonts w:ascii="Verdana" w:eastAsia="Times New Roman" w:hAnsi="Verdana" w:cs="Helvetica"/>
          <w:color w:val="492F24"/>
          <w:sz w:val="19"/>
          <w:szCs w:val="19"/>
        </w:rPr>
        <w:t>The Dean will transmit the proposal for appropriate college review and approval by the college’s curriculum committee.</w:t>
      </w:r>
    </w:p>
    <w:p w:rsidR="00DF7D56" w:rsidRPr="00DF7D56" w:rsidRDefault="00DF7D56" w:rsidP="00DF7D56">
      <w:pPr>
        <w:numPr>
          <w:ilvl w:val="0"/>
          <w:numId w:val="1"/>
        </w:numPr>
        <w:shd w:val="clear" w:color="auto" w:fill="FFFFFF"/>
        <w:spacing w:after="150" w:line="240" w:lineRule="auto"/>
        <w:rPr>
          <w:rFonts w:ascii="Verdana" w:eastAsia="Times New Roman" w:hAnsi="Verdana" w:cs="Helvetica"/>
          <w:color w:val="492F24"/>
          <w:sz w:val="19"/>
          <w:szCs w:val="19"/>
        </w:rPr>
      </w:pPr>
      <w:r w:rsidRPr="00DF7D56">
        <w:rPr>
          <w:rFonts w:ascii="Verdana" w:eastAsia="Times New Roman" w:hAnsi="Verdana" w:cs="Helvetica"/>
          <w:color w:val="492F24"/>
          <w:sz w:val="19"/>
          <w:szCs w:val="19"/>
        </w:rPr>
        <w:t>If approved by the college’s curriculum committee, the Dean will submit the proposal to Academic Affairs.  By submission of the proposal to Academic Affairs, the Dean indicates approval of the minor.</w:t>
      </w:r>
    </w:p>
    <w:p w:rsidR="00DF7D56" w:rsidRPr="00DF7D56" w:rsidRDefault="00DF7D56" w:rsidP="00DF7D56">
      <w:pPr>
        <w:numPr>
          <w:ilvl w:val="0"/>
          <w:numId w:val="1"/>
        </w:numPr>
        <w:shd w:val="clear" w:color="auto" w:fill="FFFFFF"/>
        <w:spacing w:after="150" w:line="240" w:lineRule="auto"/>
        <w:rPr>
          <w:rFonts w:ascii="Verdana" w:eastAsia="Times New Roman" w:hAnsi="Verdana" w:cs="Helvetica"/>
          <w:color w:val="492F24"/>
          <w:sz w:val="19"/>
          <w:szCs w:val="19"/>
        </w:rPr>
      </w:pPr>
      <w:r w:rsidRPr="00DF7D56">
        <w:rPr>
          <w:rFonts w:ascii="Verdana" w:eastAsia="Times New Roman" w:hAnsi="Verdana" w:cs="Helvetica"/>
          <w:color w:val="492F24"/>
          <w:sz w:val="19"/>
          <w:szCs w:val="19"/>
        </w:rPr>
        <w:t>Academic Affairs shall transmit the proposal to the Academic Planning Committee, the Graduate Council, or both for review on behalf of Faculty Senate. Faculty Senate’s review is substantive.  Faculty Senate may iterate with the proposing unit’s faculty contacts and ask for further information or for revision and resubmittal of the proposal.  They will accept up to three revisions before deferring their decision to the next academic year. </w:t>
      </w:r>
    </w:p>
    <w:p w:rsidR="00DF7D56" w:rsidRPr="00DF7D56" w:rsidRDefault="00DF7D56" w:rsidP="00DF7D56">
      <w:pPr>
        <w:numPr>
          <w:ilvl w:val="0"/>
          <w:numId w:val="1"/>
        </w:numPr>
        <w:shd w:val="clear" w:color="auto" w:fill="FFFFFF"/>
        <w:spacing w:after="150" w:line="240" w:lineRule="auto"/>
        <w:rPr>
          <w:rFonts w:ascii="Verdana" w:eastAsia="Times New Roman" w:hAnsi="Verdana" w:cs="Helvetica"/>
          <w:color w:val="492F24"/>
          <w:sz w:val="19"/>
          <w:szCs w:val="19"/>
        </w:rPr>
      </w:pPr>
      <w:r w:rsidRPr="00DF7D56">
        <w:rPr>
          <w:rFonts w:ascii="Verdana" w:eastAsia="Times New Roman" w:hAnsi="Verdana" w:cs="Helvetica"/>
          <w:color w:val="492F24"/>
          <w:sz w:val="19"/>
          <w:szCs w:val="19"/>
        </w:rPr>
        <w:t>Upon the recommendation of the Faculty Senate, the proposal will be presented for consideration to the Deans and Directors Council, which shall also have the Faculty Senate’s recommendation when they consider the proposal.</w:t>
      </w:r>
    </w:p>
    <w:p w:rsidR="00DF7D56" w:rsidRPr="00DF7D56" w:rsidRDefault="00DF7D56" w:rsidP="00DF7D56">
      <w:pPr>
        <w:numPr>
          <w:ilvl w:val="0"/>
          <w:numId w:val="1"/>
        </w:numPr>
        <w:shd w:val="clear" w:color="auto" w:fill="FFFFFF"/>
        <w:spacing w:after="150" w:line="240" w:lineRule="auto"/>
        <w:rPr>
          <w:rFonts w:ascii="Verdana" w:eastAsia="Times New Roman" w:hAnsi="Verdana" w:cs="Helvetica"/>
          <w:color w:val="492F24"/>
          <w:sz w:val="19"/>
          <w:szCs w:val="19"/>
        </w:rPr>
      </w:pPr>
      <w:r w:rsidRPr="00DF7D56">
        <w:rPr>
          <w:rFonts w:ascii="Verdana" w:eastAsia="Times New Roman" w:hAnsi="Verdana" w:cs="Helvetica"/>
          <w:color w:val="492F24"/>
          <w:sz w:val="19"/>
          <w:szCs w:val="19"/>
        </w:rPr>
        <w:t>If Faculty Senate does not approve the proposal but Deans and Directors Council does approve, the appropriate AVP in Academic Affairs (Undergraduate or Graduate Education) will facilitate a dialogue between the unit, the appropriate Faculty Senate Committee, and other relevant stakeholders.</w:t>
      </w:r>
    </w:p>
    <w:p w:rsidR="00DF7D56" w:rsidRPr="00DF7D56" w:rsidRDefault="00DF7D56" w:rsidP="00DF7D56">
      <w:pPr>
        <w:numPr>
          <w:ilvl w:val="0"/>
          <w:numId w:val="1"/>
        </w:numPr>
        <w:shd w:val="clear" w:color="auto" w:fill="FFFFFF"/>
        <w:spacing w:after="150" w:line="240" w:lineRule="auto"/>
        <w:rPr>
          <w:rFonts w:ascii="Verdana" w:eastAsia="Times New Roman" w:hAnsi="Verdana" w:cs="Helvetica"/>
          <w:color w:val="492F24"/>
          <w:sz w:val="19"/>
          <w:szCs w:val="19"/>
        </w:rPr>
      </w:pPr>
      <w:r w:rsidRPr="00DF7D56">
        <w:rPr>
          <w:rFonts w:ascii="Verdana" w:eastAsia="Times New Roman" w:hAnsi="Verdana" w:cs="Helvetica"/>
          <w:color w:val="492F24"/>
          <w:sz w:val="19"/>
          <w:szCs w:val="19"/>
        </w:rPr>
        <w:t>Upon final approval, the Office of Academic Affairs will notify the proposing department that implementation should proceed.  The college dean and Offices of Admissions and Registrar will be notified by the department, copied to Academic Affairs.</w:t>
      </w:r>
    </w:p>
    <w:p w:rsidR="00DF7D56" w:rsidRPr="00DF7D56" w:rsidRDefault="00DF7D56" w:rsidP="00DF7D56">
      <w:pPr>
        <w:spacing w:before="450" w:after="450" w:line="240" w:lineRule="auto"/>
        <w:rPr>
          <w:rFonts w:ascii="Times New Roman" w:eastAsia="Times New Roman" w:hAnsi="Times New Roman" w:cs="Times New Roman"/>
          <w:sz w:val="24"/>
          <w:szCs w:val="24"/>
        </w:rPr>
      </w:pPr>
      <w:r w:rsidRPr="00DF7D56">
        <w:rPr>
          <w:rFonts w:ascii="Times New Roman" w:eastAsia="Times New Roman" w:hAnsi="Times New Roman" w:cs="Times New Roman"/>
          <w:sz w:val="24"/>
          <w:szCs w:val="24"/>
        </w:rPr>
        <w:pict>
          <v:rect id="_x0000_i1025" style="width:0;height:0" o:hralign="center" o:hrstd="t" o:hrnoshade="t" o:hr="t" stroked="f"/>
        </w:pict>
      </w:r>
    </w:p>
    <w:p w:rsidR="00DF7D56" w:rsidRPr="00DF7D56" w:rsidRDefault="00DF7D56" w:rsidP="00DF7D56">
      <w:pPr>
        <w:spacing w:before="450" w:after="450" w:line="240" w:lineRule="auto"/>
        <w:rPr>
          <w:rFonts w:ascii="Times New Roman" w:eastAsia="Times New Roman" w:hAnsi="Times New Roman" w:cs="Times New Roman"/>
          <w:sz w:val="24"/>
          <w:szCs w:val="24"/>
        </w:rPr>
      </w:pPr>
      <w:bookmarkStart w:id="0" w:name="_GoBack"/>
      <w:bookmarkEnd w:id="0"/>
    </w:p>
    <w:p w:rsidR="00DF7D56" w:rsidRPr="00DF7D56" w:rsidRDefault="00DF7D56" w:rsidP="00DF7D56">
      <w:pPr>
        <w:shd w:val="clear" w:color="auto" w:fill="FFFFFF"/>
        <w:spacing w:before="300" w:after="150" w:line="240" w:lineRule="auto"/>
        <w:outlineLvl w:val="1"/>
        <w:rPr>
          <w:rFonts w:ascii="Verdana" w:eastAsia="Times New Roman" w:hAnsi="Verdana" w:cs="Times New Roman"/>
          <w:b/>
          <w:bCs/>
          <w:caps/>
          <w:color w:val="492F24"/>
          <w:sz w:val="27"/>
          <w:szCs w:val="27"/>
        </w:rPr>
      </w:pPr>
      <w:r w:rsidRPr="00DF7D56">
        <w:rPr>
          <w:rFonts w:ascii="Verdana" w:eastAsia="Times New Roman" w:hAnsi="Verdana" w:cs="Times New Roman"/>
          <w:b/>
          <w:bCs/>
          <w:caps/>
          <w:color w:val="492F24"/>
          <w:sz w:val="27"/>
          <w:szCs w:val="27"/>
        </w:rPr>
        <w:lastRenderedPageBreak/>
        <w:t>KEY GUIDANCE WHEN PROPOSING A NEW MINOR:</w:t>
      </w:r>
    </w:p>
    <w:p w:rsidR="00DF7D56" w:rsidRPr="00DF7D56" w:rsidRDefault="00DF7D56" w:rsidP="00DF7D56">
      <w:pPr>
        <w:shd w:val="clear" w:color="auto" w:fill="FFFFFF"/>
        <w:spacing w:after="150" w:line="240" w:lineRule="auto"/>
        <w:rPr>
          <w:rFonts w:ascii="Verdana" w:eastAsia="Times New Roman" w:hAnsi="Verdana" w:cs="Times New Roman"/>
          <w:color w:val="492F24"/>
          <w:sz w:val="19"/>
          <w:szCs w:val="19"/>
        </w:rPr>
      </w:pPr>
      <w:r w:rsidRPr="00DF7D56">
        <w:rPr>
          <w:rFonts w:ascii="Verdana" w:eastAsia="Times New Roman" w:hAnsi="Verdana" w:cs="Times New Roman"/>
          <w:b/>
          <w:bCs/>
          <w:color w:val="492F24"/>
          <w:sz w:val="19"/>
          <w:szCs w:val="19"/>
        </w:rPr>
        <w:t>Minimum Requirements New Minor:</w:t>
      </w:r>
    </w:p>
    <w:p w:rsidR="00DF7D56" w:rsidRPr="00DF7D56" w:rsidRDefault="00DF7D56" w:rsidP="00DF7D56">
      <w:pPr>
        <w:numPr>
          <w:ilvl w:val="0"/>
          <w:numId w:val="2"/>
        </w:numPr>
        <w:shd w:val="clear" w:color="auto" w:fill="FFFFFF"/>
        <w:spacing w:after="150" w:line="240" w:lineRule="auto"/>
        <w:rPr>
          <w:rFonts w:ascii="Verdana" w:eastAsia="Times New Roman" w:hAnsi="Verdana" w:cs="Helvetica"/>
          <w:color w:val="492F24"/>
          <w:sz w:val="19"/>
          <w:szCs w:val="19"/>
        </w:rPr>
      </w:pPr>
      <w:r w:rsidRPr="00DF7D56">
        <w:rPr>
          <w:rFonts w:ascii="Verdana" w:eastAsia="Times New Roman" w:hAnsi="Verdana" w:cs="Helvetica"/>
          <w:color w:val="492F24"/>
          <w:sz w:val="19"/>
          <w:szCs w:val="19"/>
        </w:rPr>
        <w:t>The curricular requirements and learning goals for a minor will be determined and specified by the appointed faculty/academic professionals of a degree granting curriculum, OR, by recognized interdisciplinary programs.</w:t>
      </w:r>
    </w:p>
    <w:p w:rsidR="00DF7D56" w:rsidRPr="00DF7D56" w:rsidRDefault="00DF7D56" w:rsidP="00DF7D56">
      <w:pPr>
        <w:numPr>
          <w:ilvl w:val="0"/>
          <w:numId w:val="2"/>
        </w:numPr>
        <w:shd w:val="clear" w:color="auto" w:fill="FFFFFF"/>
        <w:spacing w:after="150" w:line="240" w:lineRule="auto"/>
        <w:rPr>
          <w:rFonts w:ascii="Verdana" w:eastAsia="Times New Roman" w:hAnsi="Verdana" w:cs="Helvetica"/>
          <w:color w:val="492F24"/>
          <w:sz w:val="19"/>
          <w:szCs w:val="19"/>
        </w:rPr>
      </w:pPr>
      <w:r w:rsidRPr="00DF7D56">
        <w:rPr>
          <w:rFonts w:ascii="Verdana" w:eastAsia="Times New Roman" w:hAnsi="Verdana" w:cs="Helvetica"/>
          <w:color w:val="492F24"/>
          <w:sz w:val="19"/>
          <w:szCs w:val="19"/>
        </w:rPr>
        <w:t>Requirements may include any combination of formal coursework, experiential learning, and portfolio evaluation at the upper and lower division level.  Individual college and school requirements for minors may be established. A minor program will normally specify the equivalent of a minimum of 12 credit hours.</w:t>
      </w:r>
    </w:p>
    <w:p w:rsidR="00DF7D56" w:rsidRPr="00DF7D56" w:rsidRDefault="00DF7D56" w:rsidP="00DF7D56">
      <w:pPr>
        <w:numPr>
          <w:ilvl w:val="0"/>
          <w:numId w:val="2"/>
        </w:numPr>
        <w:shd w:val="clear" w:color="auto" w:fill="FFFFFF"/>
        <w:spacing w:after="150" w:line="240" w:lineRule="auto"/>
        <w:rPr>
          <w:rFonts w:ascii="Verdana" w:eastAsia="Times New Roman" w:hAnsi="Verdana" w:cs="Helvetica"/>
          <w:color w:val="492F24"/>
          <w:sz w:val="19"/>
          <w:szCs w:val="19"/>
        </w:rPr>
      </w:pPr>
      <w:r w:rsidRPr="00DF7D56">
        <w:rPr>
          <w:rFonts w:ascii="Verdana" w:eastAsia="Times New Roman" w:hAnsi="Verdana" w:cs="Helvetica"/>
          <w:color w:val="492F24"/>
          <w:sz w:val="19"/>
          <w:szCs w:val="19"/>
        </w:rPr>
        <w:t>The offering of a baccalaureate degree is not prerequisite for a minor.</w:t>
      </w:r>
    </w:p>
    <w:p w:rsidR="00DF7D56" w:rsidRPr="00DF7D56" w:rsidRDefault="00DF7D56" w:rsidP="00DF7D56">
      <w:pPr>
        <w:numPr>
          <w:ilvl w:val="0"/>
          <w:numId w:val="2"/>
        </w:numPr>
        <w:shd w:val="clear" w:color="auto" w:fill="FFFFFF"/>
        <w:spacing w:after="150" w:line="240" w:lineRule="auto"/>
        <w:rPr>
          <w:rFonts w:ascii="Verdana" w:eastAsia="Times New Roman" w:hAnsi="Verdana" w:cs="Helvetica"/>
          <w:color w:val="492F24"/>
          <w:sz w:val="19"/>
          <w:szCs w:val="19"/>
        </w:rPr>
      </w:pPr>
      <w:r w:rsidRPr="00DF7D56">
        <w:rPr>
          <w:rFonts w:ascii="Verdana" w:eastAsia="Times New Roman" w:hAnsi="Verdana" w:cs="Helvetica"/>
          <w:color w:val="492F24"/>
          <w:sz w:val="19"/>
          <w:szCs w:val="19"/>
        </w:rPr>
        <w:t>Addition or elimination of a minor may require that the unit presents the proposal to the full Faculty Senate.</w:t>
      </w:r>
    </w:p>
    <w:p w:rsidR="00DF7D56" w:rsidRPr="00DF7D56" w:rsidRDefault="00DF7D56" w:rsidP="00DF7D56">
      <w:pPr>
        <w:shd w:val="clear" w:color="auto" w:fill="FFFFFF"/>
        <w:spacing w:after="150" w:line="240" w:lineRule="auto"/>
        <w:rPr>
          <w:rFonts w:ascii="Verdana" w:eastAsia="Times New Roman" w:hAnsi="Verdana" w:cs="Times New Roman"/>
          <w:color w:val="492F24"/>
          <w:sz w:val="19"/>
          <w:szCs w:val="19"/>
        </w:rPr>
      </w:pPr>
      <w:r w:rsidRPr="00DF7D56">
        <w:rPr>
          <w:rFonts w:ascii="Verdana" w:eastAsia="Times New Roman" w:hAnsi="Verdana" w:cs="Times New Roman"/>
          <w:b/>
          <w:bCs/>
          <w:color w:val="492F24"/>
          <w:sz w:val="19"/>
          <w:szCs w:val="19"/>
        </w:rPr>
        <w:t>Institutional Resource Allocation Guidelines for new minors:</w:t>
      </w:r>
    </w:p>
    <w:p w:rsidR="00DF7D56" w:rsidRPr="00DF7D56" w:rsidRDefault="00DF7D56" w:rsidP="00DF7D56">
      <w:pPr>
        <w:numPr>
          <w:ilvl w:val="0"/>
          <w:numId w:val="3"/>
        </w:numPr>
        <w:shd w:val="clear" w:color="auto" w:fill="FFFFFF"/>
        <w:spacing w:after="150" w:line="240" w:lineRule="auto"/>
        <w:rPr>
          <w:rFonts w:ascii="Verdana" w:eastAsia="Times New Roman" w:hAnsi="Verdana" w:cs="Helvetica"/>
          <w:color w:val="492F24"/>
          <w:sz w:val="19"/>
          <w:szCs w:val="19"/>
        </w:rPr>
      </w:pPr>
      <w:r w:rsidRPr="00DF7D56">
        <w:rPr>
          <w:rFonts w:ascii="Verdana" w:eastAsia="Times New Roman" w:hAnsi="Verdana" w:cs="Helvetica"/>
          <w:color w:val="492F24"/>
          <w:sz w:val="19"/>
          <w:szCs w:val="19"/>
        </w:rPr>
        <w:t>Provision of a minor does not, in itself, constitute justification for the allocation of instructional resources.</w:t>
      </w:r>
    </w:p>
    <w:p w:rsidR="00DF7D56" w:rsidRPr="00DF7D56" w:rsidRDefault="00DF7D56" w:rsidP="00DF7D56">
      <w:pPr>
        <w:numPr>
          <w:ilvl w:val="0"/>
          <w:numId w:val="3"/>
        </w:numPr>
        <w:shd w:val="clear" w:color="auto" w:fill="FFFFFF"/>
        <w:spacing w:after="150" w:line="240" w:lineRule="auto"/>
        <w:rPr>
          <w:rFonts w:ascii="Verdana" w:eastAsia="Times New Roman" w:hAnsi="Verdana" w:cs="Helvetica"/>
          <w:color w:val="492F24"/>
          <w:sz w:val="19"/>
          <w:szCs w:val="19"/>
        </w:rPr>
      </w:pPr>
      <w:r w:rsidRPr="00DF7D56">
        <w:rPr>
          <w:rFonts w:ascii="Verdana" w:eastAsia="Times New Roman" w:hAnsi="Verdana" w:cs="Helvetica"/>
          <w:color w:val="492F24"/>
          <w:sz w:val="19"/>
          <w:szCs w:val="19"/>
        </w:rPr>
        <w:t>Institutional Academic Program Reviews should include an evaluation of the effectiveness of minors.</w:t>
      </w:r>
    </w:p>
    <w:p w:rsidR="00D43EA2" w:rsidRDefault="00D43EA2"/>
    <w:sectPr w:rsidR="00D43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594"/>
    <w:multiLevelType w:val="multilevel"/>
    <w:tmpl w:val="46CC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545F0"/>
    <w:multiLevelType w:val="multilevel"/>
    <w:tmpl w:val="9618A1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B322B2"/>
    <w:multiLevelType w:val="multilevel"/>
    <w:tmpl w:val="79F2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56"/>
    <w:rsid w:val="00D43EA2"/>
    <w:rsid w:val="00DF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31CD"/>
  <w15:chartTrackingRefBased/>
  <w15:docId w15:val="{5A989CD4-BBFE-4FD3-A643-D783321E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F7D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7D5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F7D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7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6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Helgeson</dc:creator>
  <cp:keywords/>
  <dc:description/>
  <cp:lastModifiedBy>Erika Helgeson</cp:lastModifiedBy>
  <cp:revision>1</cp:revision>
  <dcterms:created xsi:type="dcterms:W3CDTF">2023-06-08T19:36:00Z</dcterms:created>
  <dcterms:modified xsi:type="dcterms:W3CDTF">2023-06-08T19:37:00Z</dcterms:modified>
</cp:coreProperties>
</file>