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FA904" w14:textId="77777777" w:rsidR="001931BF" w:rsidRDefault="001931BF" w:rsidP="00134653">
      <w:pPr>
        <w:rPr>
          <w:rFonts w:ascii="Times New Roman" w:hAnsi="Times New Roman" w:cs="Times New Roman"/>
          <w:sz w:val="24"/>
        </w:rPr>
      </w:pPr>
    </w:p>
    <w:p w14:paraId="02BD3A39" w14:textId="330F250B" w:rsidR="00134653" w:rsidRPr="009D708D" w:rsidRDefault="00134653" w:rsidP="009D708D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9D708D">
        <w:rPr>
          <w:rFonts w:ascii="Times New Roman" w:hAnsi="Times New Roman" w:cs="Times New Roman"/>
          <w:b/>
          <w:bCs/>
          <w:sz w:val="24"/>
          <w:u w:val="single"/>
        </w:rPr>
        <w:t>Request for Interpretation:</w:t>
      </w:r>
      <w:r w:rsidR="005100C7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bookmarkStart w:id="0" w:name="_Hlk32856144"/>
      <w:bookmarkStart w:id="1" w:name="_Hlk53074164"/>
      <w:r w:rsidR="005100C7">
        <w:rPr>
          <w:rFonts w:ascii="Times New Roman" w:hAnsi="Times New Roman" w:cs="Times New Roman"/>
          <w:b/>
          <w:bCs/>
          <w:sz w:val="24"/>
          <w:u w:val="single"/>
        </w:rPr>
        <w:t xml:space="preserve">ASUW </w:t>
      </w:r>
      <w:r w:rsidR="00D958E3">
        <w:rPr>
          <w:rFonts w:ascii="Times New Roman" w:hAnsi="Times New Roman" w:cs="Times New Roman"/>
          <w:b/>
          <w:bCs/>
          <w:sz w:val="24"/>
          <w:u w:val="single"/>
        </w:rPr>
        <w:t>Constitution</w:t>
      </w:r>
      <w:r w:rsidR="005100C7">
        <w:rPr>
          <w:rFonts w:ascii="Times New Roman" w:hAnsi="Times New Roman" w:cs="Times New Roman"/>
          <w:b/>
          <w:bCs/>
          <w:sz w:val="24"/>
          <w:u w:val="single"/>
        </w:rPr>
        <w:t xml:space="preserve">, </w:t>
      </w:r>
      <w:bookmarkEnd w:id="0"/>
      <w:r w:rsidR="00D958E3" w:rsidRPr="00D958E3">
        <w:rPr>
          <w:rFonts w:ascii="Times New Roman" w:hAnsi="Times New Roman" w:cs="Times New Roman"/>
          <w:b/>
          <w:bCs/>
          <w:sz w:val="24"/>
          <w:u w:val="single"/>
        </w:rPr>
        <w:t>Article VI, Section 1, subsection A</w:t>
      </w:r>
      <w:bookmarkEnd w:id="1"/>
    </w:p>
    <w:p w14:paraId="306F514F" w14:textId="6038B118" w:rsidR="00134653" w:rsidRDefault="00134653" w:rsidP="001346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Chief Justice Sanders </w:t>
      </w:r>
      <w:r w:rsidR="004F556E">
        <w:rPr>
          <w:rFonts w:ascii="Times New Roman" w:hAnsi="Times New Roman" w:cs="Times New Roman"/>
          <w:sz w:val="24"/>
        </w:rPr>
        <w:t>delivered</w:t>
      </w:r>
      <w:r>
        <w:rPr>
          <w:rFonts w:ascii="Times New Roman" w:hAnsi="Times New Roman" w:cs="Times New Roman"/>
          <w:sz w:val="24"/>
        </w:rPr>
        <w:t xml:space="preserve"> the Majority Opinion of the Judicial Council on </w:t>
      </w:r>
      <w:r w:rsidR="009968F1">
        <w:rPr>
          <w:rFonts w:ascii="Times New Roman" w:hAnsi="Times New Roman" w:cs="Times New Roman"/>
          <w:sz w:val="24"/>
        </w:rPr>
        <w:t>October 12</w:t>
      </w:r>
      <w:r w:rsidR="009968F1" w:rsidRPr="009968F1">
        <w:rPr>
          <w:rFonts w:ascii="Times New Roman" w:hAnsi="Times New Roman" w:cs="Times New Roman"/>
          <w:sz w:val="24"/>
          <w:vertAlign w:val="superscript"/>
        </w:rPr>
        <w:t>th</w:t>
      </w:r>
      <w:r w:rsidR="009968F1">
        <w:rPr>
          <w:rFonts w:ascii="Times New Roman" w:hAnsi="Times New Roman" w:cs="Times New Roman"/>
          <w:sz w:val="24"/>
        </w:rPr>
        <w:t>, 2020</w:t>
      </w:r>
      <w:r w:rsidR="00FE765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in which Associate Justices </w:t>
      </w:r>
      <w:r w:rsidR="007E0624">
        <w:rPr>
          <w:rFonts w:ascii="Times New Roman" w:hAnsi="Times New Roman" w:cs="Times New Roman"/>
          <w:sz w:val="24"/>
        </w:rPr>
        <w:t xml:space="preserve">Bellamy, </w:t>
      </w:r>
      <w:r w:rsidR="00064C58">
        <w:rPr>
          <w:rFonts w:ascii="Times New Roman" w:hAnsi="Times New Roman" w:cs="Times New Roman"/>
          <w:sz w:val="24"/>
        </w:rPr>
        <w:t xml:space="preserve">Campbell, </w:t>
      </w:r>
      <w:r>
        <w:rPr>
          <w:rFonts w:ascii="Times New Roman" w:hAnsi="Times New Roman" w:cs="Times New Roman"/>
          <w:sz w:val="24"/>
        </w:rPr>
        <w:t xml:space="preserve">Cloud, </w:t>
      </w:r>
      <w:r w:rsidR="008C7760">
        <w:rPr>
          <w:rFonts w:ascii="Times New Roman" w:hAnsi="Times New Roman" w:cs="Times New Roman"/>
          <w:sz w:val="24"/>
        </w:rPr>
        <w:t xml:space="preserve">De Meillon, </w:t>
      </w:r>
      <w:r>
        <w:rPr>
          <w:rFonts w:ascii="Times New Roman" w:hAnsi="Times New Roman" w:cs="Times New Roman"/>
          <w:sz w:val="24"/>
        </w:rPr>
        <w:t>and</w:t>
      </w:r>
      <w:r w:rsidR="00FE765D">
        <w:rPr>
          <w:rFonts w:ascii="Times New Roman" w:hAnsi="Times New Roman" w:cs="Times New Roman"/>
          <w:sz w:val="24"/>
        </w:rPr>
        <w:t xml:space="preserve"> Jackson</w:t>
      </w:r>
      <w:r>
        <w:rPr>
          <w:rFonts w:ascii="Times New Roman" w:hAnsi="Times New Roman" w:cs="Times New Roman"/>
          <w:sz w:val="24"/>
        </w:rPr>
        <w:t xml:space="preserve"> joined.</w:t>
      </w:r>
    </w:p>
    <w:p w14:paraId="4F29121C" w14:textId="440D9024" w:rsidR="00064C58" w:rsidRPr="00064C58" w:rsidRDefault="00064C58" w:rsidP="001346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>Associate Justice Gruntmeir did not partake in the decision.</w:t>
      </w:r>
    </w:p>
    <w:p w14:paraId="3EA6AFDB" w14:textId="1E80D2F0" w:rsidR="00134653" w:rsidRPr="00167F1B" w:rsidRDefault="00134653" w:rsidP="00134653">
      <w:pPr>
        <w:rPr>
          <w:rFonts w:ascii="Times New Roman" w:hAnsi="Times New Roman" w:cs="Times New Roman"/>
          <w:b/>
          <w:bCs/>
          <w:sz w:val="24"/>
        </w:rPr>
      </w:pPr>
      <w:r w:rsidRPr="00167F1B">
        <w:rPr>
          <w:rFonts w:ascii="Times New Roman" w:hAnsi="Times New Roman" w:cs="Times New Roman"/>
          <w:b/>
          <w:bCs/>
          <w:sz w:val="24"/>
        </w:rPr>
        <w:t>Question</w:t>
      </w:r>
    </w:p>
    <w:p w14:paraId="3D3DE0CA" w14:textId="6EE0C098" w:rsidR="00A962C5" w:rsidRDefault="00134653" w:rsidP="00A962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 </w:t>
      </w:r>
      <w:r w:rsidR="004354CF">
        <w:rPr>
          <w:rFonts w:ascii="Times New Roman" w:hAnsi="Times New Roman" w:cs="Times New Roman"/>
          <w:sz w:val="24"/>
        </w:rPr>
        <w:t>September 29</w:t>
      </w:r>
      <w:r w:rsidR="004354CF" w:rsidRPr="004354CF">
        <w:rPr>
          <w:rFonts w:ascii="Times New Roman" w:hAnsi="Times New Roman" w:cs="Times New Roman"/>
          <w:sz w:val="24"/>
          <w:vertAlign w:val="superscript"/>
        </w:rPr>
        <w:t>th</w:t>
      </w:r>
      <w:r w:rsidR="00FE765D">
        <w:rPr>
          <w:rFonts w:ascii="Times New Roman" w:hAnsi="Times New Roman" w:cs="Times New Roman"/>
          <w:sz w:val="24"/>
        </w:rPr>
        <w:t>, 2020</w:t>
      </w:r>
      <w:r>
        <w:rPr>
          <w:rFonts w:ascii="Times New Roman" w:hAnsi="Times New Roman" w:cs="Times New Roman"/>
          <w:sz w:val="24"/>
        </w:rPr>
        <w:t xml:space="preserve">, the Judicial Council received a request from the ASUW </w:t>
      </w:r>
      <w:r w:rsidR="00004879">
        <w:rPr>
          <w:rFonts w:ascii="Times New Roman" w:hAnsi="Times New Roman" w:cs="Times New Roman"/>
          <w:sz w:val="24"/>
        </w:rPr>
        <w:t>Chief of Legislative Affairs</w:t>
      </w:r>
      <w:r>
        <w:rPr>
          <w:rFonts w:ascii="Times New Roman" w:hAnsi="Times New Roman" w:cs="Times New Roman"/>
          <w:sz w:val="24"/>
        </w:rPr>
        <w:t xml:space="preserve"> to interpret </w:t>
      </w:r>
      <w:r w:rsidR="001C6F8F">
        <w:rPr>
          <w:rFonts w:ascii="Times New Roman" w:hAnsi="Times New Roman" w:cs="Times New Roman"/>
          <w:sz w:val="24"/>
        </w:rPr>
        <w:t xml:space="preserve">the </w:t>
      </w:r>
      <w:r w:rsidR="001C6F8F" w:rsidRPr="001C6F8F">
        <w:rPr>
          <w:rFonts w:ascii="Times New Roman" w:hAnsi="Times New Roman" w:cs="Times New Roman"/>
          <w:sz w:val="24"/>
        </w:rPr>
        <w:t>ASUW Constitution, Article VI, Section 1, subsection A</w:t>
      </w:r>
      <w:r>
        <w:rPr>
          <w:rFonts w:ascii="Times New Roman" w:hAnsi="Times New Roman" w:cs="Times New Roman"/>
          <w:sz w:val="24"/>
        </w:rPr>
        <w:t xml:space="preserve">. </w:t>
      </w:r>
      <w:r w:rsidR="00963D2C">
        <w:rPr>
          <w:rFonts w:ascii="Times New Roman" w:hAnsi="Times New Roman" w:cs="Times New Roman"/>
          <w:sz w:val="24"/>
        </w:rPr>
        <w:t>This subsection reads</w:t>
      </w:r>
      <w:r w:rsidR="00CE77E9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1C6F8F" w:rsidRPr="001C6F8F">
        <w:rPr>
          <w:rFonts w:ascii="Times New Roman" w:hAnsi="Times New Roman" w:cs="Times New Roman"/>
          <w:sz w:val="24"/>
        </w:rPr>
        <w:t xml:space="preserve">“Each of the University’s colleges and sole degree-granting programs shall have at least one (1) student senator.” </w:t>
      </w:r>
      <w:r>
        <w:rPr>
          <w:rFonts w:ascii="Times New Roman" w:hAnsi="Times New Roman" w:cs="Times New Roman"/>
          <w:sz w:val="24"/>
        </w:rPr>
        <w:t xml:space="preserve">The ASUW </w:t>
      </w:r>
      <w:r w:rsidR="008F38EC">
        <w:rPr>
          <w:rFonts w:ascii="Times New Roman" w:hAnsi="Times New Roman" w:cs="Times New Roman"/>
          <w:sz w:val="24"/>
        </w:rPr>
        <w:t>Ch</w:t>
      </w:r>
      <w:r w:rsidR="006A7CCC">
        <w:rPr>
          <w:rFonts w:ascii="Times New Roman" w:hAnsi="Times New Roman" w:cs="Times New Roman"/>
          <w:sz w:val="24"/>
        </w:rPr>
        <w:t>ief of Legislative Affairs</w:t>
      </w:r>
      <w:r>
        <w:rPr>
          <w:rFonts w:ascii="Times New Roman" w:hAnsi="Times New Roman" w:cs="Times New Roman"/>
          <w:sz w:val="24"/>
        </w:rPr>
        <w:t xml:space="preserve"> posed the following questions:</w:t>
      </w:r>
    </w:p>
    <w:p w14:paraId="102F6A03" w14:textId="5895B625" w:rsidR="004D25BF" w:rsidRPr="00680707" w:rsidRDefault="004D25BF" w:rsidP="006807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680707">
        <w:rPr>
          <w:rFonts w:ascii="Times New Roman" w:hAnsi="Times New Roman" w:cs="Times New Roman"/>
          <w:sz w:val="24"/>
        </w:rPr>
        <w:t>Does the phrase “Each of the University’s colleges” apply only to full degree granting colleges, or all colleges at the University of Wyoming?</w:t>
      </w:r>
    </w:p>
    <w:p w14:paraId="663F5C77" w14:textId="02798B4D" w:rsidR="004D25BF" w:rsidRPr="00680707" w:rsidRDefault="004D25BF" w:rsidP="006807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</w:rPr>
      </w:pPr>
      <w:r w:rsidRPr="00680707">
        <w:rPr>
          <w:rFonts w:ascii="Times New Roman" w:hAnsi="Times New Roman" w:cs="Times New Roman"/>
          <w:sz w:val="24"/>
        </w:rPr>
        <w:t>Does this phrase include the Honors College; that is, should they have at least one senator and be included in the proportional allocation of the remaining seats?</w:t>
      </w:r>
      <w:r w:rsidRPr="00680707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1606BE27" w14:textId="27CB39A4" w:rsidR="00134653" w:rsidRPr="00A962C5" w:rsidRDefault="00134653" w:rsidP="004D25BF">
      <w:pPr>
        <w:rPr>
          <w:rFonts w:ascii="Times New Roman" w:hAnsi="Times New Roman" w:cs="Times New Roman"/>
          <w:b/>
          <w:bCs/>
          <w:sz w:val="24"/>
        </w:rPr>
      </w:pPr>
      <w:r w:rsidRPr="00A962C5">
        <w:rPr>
          <w:rFonts w:ascii="Times New Roman" w:hAnsi="Times New Roman" w:cs="Times New Roman"/>
          <w:b/>
          <w:bCs/>
          <w:sz w:val="24"/>
        </w:rPr>
        <w:t>Interpretation and Recommendation</w:t>
      </w:r>
    </w:p>
    <w:p w14:paraId="2B35ABF6" w14:textId="7EA14DE1" w:rsidR="00790B4C" w:rsidRDefault="00134653" w:rsidP="00134653">
      <w:pPr>
        <w:pStyle w:val="NormalWeb"/>
        <w:shd w:val="clear" w:color="auto" w:fill="FFFFFF"/>
        <w:spacing w:before="0" w:beforeAutospacing="0" w:after="0" w:afterAutospacing="0" w:line="276" w:lineRule="auto"/>
      </w:pPr>
      <w:r>
        <w:t xml:space="preserve">In this interpretation, the Judicial Council relied </w:t>
      </w:r>
      <w:r w:rsidR="00980620">
        <w:t>mainly on</w:t>
      </w:r>
      <w:r w:rsidR="0064097F">
        <w:t xml:space="preserve"> the intent</w:t>
      </w:r>
      <w:r>
        <w:t xml:space="preserve"> </w:t>
      </w:r>
      <w:r w:rsidR="00790B4C">
        <w:t>of the</w:t>
      </w:r>
      <w:r>
        <w:t xml:space="preserve"> </w:t>
      </w:r>
      <w:r w:rsidR="00980620">
        <w:t>subsection</w:t>
      </w:r>
      <w:r w:rsidR="00230066">
        <w:t xml:space="preserve"> in question</w:t>
      </w:r>
      <w:r w:rsidR="005F71FC">
        <w:t>,</w:t>
      </w:r>
      <w:r w:rsidR="00230066">
        <w:t xml:space="preserve"> the</w:t>
      </w:r>
      <w:r w:rsidR="005F71FC">
        <w:t xml:space="preserve"> ASUW By-Laws,</w:t>
      </w:r>
      <w:r w:rsidR="00980620">
        <w:t xml:space="preserve"> and </w:t>
      </w:r>
      <w:r w:rsidR="001A1B40">
        <w:t>preceding legislation</w:t>
      </w:r>
      <w:r>
        <w:t xml:space="preserve">. </w:t>
      </w:r>
      <w:r w:rsidR="001530EA">
        <w:t xml:space="preserve">For question one, the Council rules that the phrase </w:t>
      </w:r>
      <w:r w:rsidR="001530EA" w:rsidRPr="00680707">
        <w:t>“Each of the University’s colleges” appl</w:t>
      </w:r>
      <w:r w:rsidR="001530EA">
        <w:t>ies</w:t>
      </w:r>
      <w:r w:rsidR="001530EA" w:rsidRPr="00680707">
        <w:t xml:space="preserve"> only to </w:t>
      </w:r>
      <w:r w:rsidR="00774485">
        <w:t xml:space="preserve">sole </w:t>
      </w:r>
      <w:r w:rsidR="001530EA" w:rsidRPr="00680707">
        <w:t>degree</w:t>
      </w:r>
      <w:r w:rsidR="00774485">
        <w:t>-</w:t>
      </w:r>
      <w:r w:rsidR="001530EA" w:rsidRPr="00680707">
        <w:t>granting colleges</w:t>
      </w:r>
      <w:r w:rsidR="00774485">
        <w:t xml:space="preserve">. </w:t>
      </w:r>
      <w:r w:rsidR="00BC17B3">
        <w:t xml:space="preserve">The Council was unable to find a clear definition of the term “college” anywhere in the ASUW governing documents or </w:t>
      </w:r>
      <w:r w:rsidR="00FB0686">
        <w:t>provided by</w:t>
      </w:r>
      <w:r w:rsidR="00BB298B">
        <w:t xml:space="preserve"> the University as a whole. </w:t>
      </w:r>
      <w:r w:rsidR="004609EE">
        <w:t xml:space="preserve">As a result, the Council focused on the intent of </w:t>
      </w:r>
      <w:r w:rsidR="00AB1BF5">
        <w:t>Article VI, Section 1 of the ASUW Constitution</w:t>
      </w:r>
      <w:r w:rsidR="00FB0686">
        <w:t>;</w:t>
      </w:r>
      <w:r w:rsidR="00AB1BF5">
        <w:t xml:space="preserve"> </w:t>
      </w:r>
      <w:r w:rsidR="00215E21" w:rsidRPr="00215E21">
        <w:t>Article 5, Section 5.03, subsection 2, subsection A, subsection c</w:t>
      </w:r>
      <w:r w:rsidR="00215E21">
        <w:t xml:space="preserve"> of the ASUW By-Laws</w:t>
      </w:r>
      <w:r w:rsidR="00FB0686">
        <w:t>;</w:t>
      </w:r>
      <w:r w:rsidR="00215E21">
        <w:t xml:space="preserve"> </w:t>
      </w:r>
      <w:r w:rsidR="00E1207A">
        <w:t>and Senate Bill #2599.</w:t>
      </w:r>
    </w:p>
    <w:p w14:paraId="21E44921" w14:textId="4DD63D32" w:rsidR="00E1207A" w:rsidRDefault="00E1207A" w:rsidP="00134653">
      <w:pPr>
        <w:pStyle w:val="NormalWeb"/>
        <w:shd w:val="clear" w:color="auto" w:fill="FFFFFF"/>
        <w:spacing w:before="0" w:beforeAutospacing="0" w:after="0" w:afterAutospacing="0" w:line="276" w:lineRule="auto"/>
      </w:pPr>
    </w:p>
    <w:p w14:paraId="2EF68892" w14:textId="3E31BDC9" w:rsidR="00E1207A" w:rsidRDefault="008366A3" w:rsidP="00134653">
      <w:pPr>
        <w:pStyle w:val="NormalWeb"/>
        <w:shd w:val="clear" w:color="auto" w:fill="FFFFFF"/>
        <w:spacing w:before="0" w:beforeAutospacing="0" w:after="0" w:afterAutospacing="0" w:line="276" w:lineRule="auto"/>
      </w:pPr>
      <w:r>
        <w:t>Article VI, Section 1</w:t>
      </w:r>
      <w:r w:rsidR="00661165">
        <w:t>, subsection A</w:t>
      </w:r>
      <w:r>
        <w:t xml:space="preserve"> of the ASUW Constitution states that </w:t>
      </w:r>
      <w:r w:rsidR="00231A56" w:rsidRPr="001C6F8F">
        <w:t>“Each of the University’s colleges and sole degree-granting programs shall have at least one (1) student senator</w:t>
      </w:r>
      <w:r w:rsidR="00231A56">
        <w:t xml:space="preserve">.” </w:t>
      </w:r>
      <w:r w:rsidR="000873F8" w:rsidRPr="00215E21">
        <w:t>Article 5, Section 5.03, subsection 2, subsection A, subsection c</w:t>
      </w:r>
      <w:r w:rsidR="000873F8">
        <w:t xml:space="preserve"> of the ASUW By-Laws </w:t>
      </w:r>
      <w:r w:rsidR="00ED35DC">
        <w:t>states that “</w:t>
      </w:r>
      <w:r w:rsidR="00ED35DC" w:rsidRPr="00ED35DC">
        <w:t xml:space="preserve">Fee-paying students with more than one major will only be allowed to vote in their primary college, as documented by the Registrar.” </w:t>
      </w:r>
      <w:r w:rsidR="00A27D8C">
        <w:t>The third Whereas clause, lines 7-9, of Senate Bill #2599 states</w:t>
      </w:r>
      <w:r w:rsidR="006B5CAE">
        <w:t>: “ WHEREAS, it is possible for a student to earn a degree solely from the Haub School or the SER [School of Energy Resources] without a second major, meaning that these students are not represented in any of UW’s seven colleges</w:t>
      </w:r>
      <w:r w:rsidR="00180647">
        <w:t>…” These three quotes, when placed in context with each</w:t>
      </w:r>
      <w:r w:rsidR="00407D49">
        <w:t xml:space="preserve"> other</w:t>
      </w:r>
      <w:r w:rsidR="00180647">
        <w:t xml:space="preserve">, show that the intent of </w:t>
      </w:r>
      <w:r w:rsidR="0031037D">
        <w:t xml:space="preserve">the system of Senator allocation was to provide representation to every student on campus. </w:t>
      </w:r>
      <w:r w:rsidR="00407D49">
        <w:t>Moreover</w:t>
      </w:r>
      <w:r w:rsidR="00A64EF8">
        <w:t xml:space="preserve">, each student is only to be </w:t>
      </w:r>
      <w:r w:rsidR="00A64EF8">
        <w:lastRenderedPageBreak/>
        <w:t xml:space="preserve">represented once, not twice, as indicated by the rule in the By-Laws that a student can only vote in their primary college. </w:t>
      </w:r>
      <w:r w:rsidR="002E076A">
        <w:t xml:space="preserve">The Council recognized that </w:t>
      </w:r>
      <w:r w:rsidR="00E62E1F">
        <w:t xml:space="preserve">through Senate Bill #2599, </w:t>
      </w:r>
      <w:r w:rsidR="002E076A">
        <w:t xml:space="preserve">the Haub School and SER were </w:t>
      </w:r>
      <w:r w:rsidR="00ED56D8">
        <w:t xml:space="preserve">included in the process for </w:t>
      </w:r>
      <w:r w:rsidR="002E076A">
        <w:t xml:space="preserve">proportional allocation due to </w:t>
      </w:r>
      <w:r w:rsidR="00BE4565">
        <w:t xml:space="preserve">their status as sole degree-granting programs, further reinforcing the intent to provide representation to all. </w:t>
      </w:r>
      <w:r w:rsidR="006F7836">
        <w:t xml:space="preserve">The Council would like to note that although there are students that could belong to multiple colleges, they only </w:t>
      </w:r>
      <w:r w:rsidR="00FD178B">
        <w:t>technically have representation from their primary college because this is the only college they can actively participate in the selection of their representation.</w:t>
      </w:r>
      <w:r w:rsidR="007C6B4E">
        <w:t xml:space="preserve"> Finally, due to the confusing nature of the word “college,” the Council recommends that the </w:t>
      </w:r>
      <w:r w:rsidR="000D0B17">
        <w:t xml:space="preserve">appropriate ASUW governing documents be amended to remove the word “college” and only use the phrase “sole degree-granting programs.” For example, the Council recommends that </w:t>
      </w:r>
      <w:r w:rsidR="009621CA">
        <w:t>Article VI, Section 1</w:t>
      </w:r>
      <w:r w:rsidR="00506C0E">
        <w:t>, subsection A</w:t>
      </w:r>
      <w:r w:rsidR="009621CA">
        <w:t xml:space="preserve"> of the ASUW Constitution be amended to read: </w:t>
      </w:r>
      <w:r w:rsidR="009621CA" w:rsidRPr="001C6F8F">
        <w:t>“Each of the University’s sole degree-granting programs shall have at least one (1) student senator</w:t>
      </w:r>
      <w:r w:rsidR="009621CA">
        <w:t>.”</w:t>
      </w:r>
      <w:r w:rsidR="00754726">
        <w:t xml:space="preserve"> This recommendation does not have to be followed, and the decision the Council reached on this interpretation is not dependent on this recommendation being followed.</w:t>
      </w:r>
    </w:p>
    <w:p w14:paraId="1E6A57A7" w14:textId="77777777" w:rsidR="00F24C39" w:rsidRDefault="00F24C39" w:rsidP="00134653">
      <w:pPr>
        <w:pStyle w:val="NormalWeb"/>
        <w:shd w:val="clear" w:color="auto" w:fill="FFFFFF"/>
        <w:spacing w:before="0" w:beforeAutospacing="0" w:after="0" w:afterAutospacing="0" w:line="276" w:lineRule="auto"/>
      </w:pPr>
    </w:p>
    <w:p w14:paraId="5531FEE9" w14:textId="0CE07A17" w:rsidR="00BB7616" w:rsidRDefault="009621CA" w:rsidP="00134653">
      <w:pPr>
        <w:pStyle w:val="NormalWeb"/>
        <w:shd w:val="clear" w:color="auto" w:fill="FFFFFF"/>
        <w:spacing w:before="0" w:beforeAutospacing="0" w:after="0" w:afterAutospacing="0" w:line="276" w:lineRule="auto"/>
      </w:pPr>
      <w:r>
        <w:t xml:space="preserve">The ruling to the second question was dependent on the answer to the first question. </w:t>
      </w:r>
      <w:r w:rsidR="00B11DA1">
        <w:t xml:space="preserve">The Council decided </w:t>
      </w:r>
      <w:r w:rsidR="00506C0E">
        <w:t xml:space="preserve">that </w:t>
      </w:r>
      <w:r w:rsidR="00661165">
        <w:t>Article VI, Section 1, subsection A of the ASUW Constitution</w:t>
      </w:r>
      <w:r w:rsidR="00661165" w:rsidRPr="00506C0E">
        <w:t xml:space="preserve"> </w:t>
      </w:r>
      <w:r w:rsidR="00661165">
        <w:t>does not</w:t>
      </w:r>
      <w:r w:rsidR="00506C0E" w:rsidRPr="00506C0E">
        <w:t xml:space="preserve"> include the Honors College</w:t>
      </w:r>
      <w:r w:rsidR="00F10900">
        <w:t>. As a result, the Honors College</w:t>
      </w:r>
      <w:r w:rsidR="00506C0E" w:rsidRPr="00506C0E">
        <w:t xml:space="preserve"> should </w:t>
      </w:r>
      <w:r w:rsidR="00F10900">
        <w:t>not</w:t>
      </w:r>
      <w:r w:rsidR="00506C0E" w:rsidRPr="00506C0E">
        <w:t xml:space="preserve"> have at least one senator</w:t>
      </w:r>
      <w:r w:rsidR="00F10900">
        <w:t xml:space="preserve"> nor </w:t>
      </w:r>
      <w:r w:rsidR="00506C0E" w:rsidRPr="00506C0E">
        <w:t>be included in the</w:t>
      </w:r>
      <w:r w:rsidR="00017000">
        <w:t xml:space="preserve"> process </w:t>
      </w:r>
      <w:r w:rsidR="0015625E">
        <w:t>for</w:t>
      </w:r>
      <w:r w:rsidR="00506C0E" w:rsidRPr="00506C0E">
        <w:t xml:space="preserve"> proportional allocation</w:t>
      </w:r>
      <w:r w:rsidR="00F10900">
        <w:t>.</w:t>
      </w:r>
      <w:r w:rsidR="00CA0208">
        <w:t xml:space="preserve"> The Council reached this decision because the Honors College is not a sole degree-granting program; every member of the Honors College </w:t>
      </w:r>
      <w:r w:rsidR="0015625E">
        <w:t>must</w:t>
      </w:r>
      <w:r w:rsidR="002D4DFD">
        <w:t xml:space="preserve"> belong to a sole degree-granting program. </w:t>
      </w:r>
      <w:r w:rsidR="002E7864">
        <w:t>Furthermore, t</w:t>
      </w:r>
      <w:r w:rsidR="002D4DFD">
        <w:t xml:space="preserve">he Honors College is </w:t>
      </w:r>
      <w:r w:rsidR="000A7180">
        <w:t>applied as a minor on degrees, and a student cannot declare the</w:t>
      </w:r>
      <w:r w:rsidR="0015625E">
        <w:t>ir</w:t>
      </w:r>
      <w:r w:rsidR="000A7180">
        <w:t xml:space="preserve"> primary major to be in the Honors College or </w:t>
      </w:r>
      <w:r w:rsidR="002E7864">
        <w:t>graduate with a degree from</w:t>
      </w:r>
      <w:r w:rsidR="001F6735">
        <w:t xml:space="preserve"> only</w:t>
      </w:r>
      <w:r w:rsidR="002E7864">
        <w:t xml:space="preserve"> the Honors College. Because each student in the Honors College</w:t>
      </w:r>
      <w:r w:rsidR="006D7BBF">
        <w:t xml:space="preserve"> is represented elsewhere, there is no need to provide representation from the Honors College specifically. In fact, this would go against the intent discussed previously to provide </w:t>
      </w:r>
      <w:r w:rsidR="001F6735">
        <w:t xml:space="preserve">only </w:t>
      </w:r>
      <w:r w:rsidR="006D7BBF">
        <w:t xml:space="preserve">single representation to each student. </w:t>
      </w:r>
    </w:p>
    <w:p w14:paraId="24D73B66" w14:textId="700E8202" w:rsidR="007E1A72" w:rsidRDefault="007E1A72" w:rsidP="00134653">
      <w:pPr>
        <w:pStyle w:val="NormalWeb"/>
        <w:shd w:val="clear" w:color="auto" w:fill="FFFFFF"/>
        <w:spacing w:before="0" w:beforeAutospacing="0" w:after="0" w:afterAutospacing="0" w:line="276" w:lineRule="auto"/>
      </w:pPr>
    </w:p>
    <w:p w14:paraId="779E6B47" w14:textId="22A62108" w:rsidR="007E1A72" w:rsidRDefault="007E1A72" w:rsidP="00134653">
      <w:pPr>
        <w:pStyle w:val="NormalWeb"/>
        <w:shd w:val="clear" w:color="auto" w:fill="FFFFFF"/>
        <w:spacing w:before="0" w:beforeAutospacing="0" w:after="0" w:afterAutospacing="0" w:line="276" w:lineRule="auto"/>
      </w:pPr>
      <w:r>
        <w:t xml:space="preserve">It is the recommendation of the Council that the ASUW Senate </w:t>
      </w:r>
      <w:r w:rsidR="00951625">
        <w:t xml:space="preserve">reflect on the current process for allocating Senators and ensuring representation to improve </w:t>
      </w:r>
      <w:r w:rsidR="00371D48">
        <w:t xml:space="preserve">transparency. The Council recognizes that the Honors College may have needs specific to the College </w:t>
      </w:r>
      <w:r w:rsidR="005B3F5D">
        <w:t xml:space="preserve">that might be difficult </w:t>
      </w:r>
      <w:r w:rsidR="001F6735">
        <w:t>for the</w:t>
      </w:r>
      <w:r w:rsidR="005B3F5D">
        <w:t xml:space="preserve"> sole degree-granting programs </w:t>
      </w:r>
      <w:r w:rsidR="001F6735">
        <w:t xml:space="preserve">to meet </w:t>
      </w:r>
      <w:r w:rsidR="005B3F5D">
        <w:t xml:space="preserve">and thus recommends that the ASUW Senate find another way to </w:t>
      </w:r>
      <w:r w:rsidR="00BD428F">
        <w:t>address these needs. For example, the Honors College RSO, Wyoming Honors Organization</w:t>
      </w:r>
      <w:r w:rsidR="000C144C">
        <w:t xml:space="preserve">, could be added as an ex-officio to the Senate and given a seat at the Senate. </w:t>
      </w:r>
      <w:r w:rsidR="00754726">
        <w:t>These recommendations do not have to be followed, and the decision the Council reached on this interpretation is not dependent on these recommendations being followed.</w:t>
      </w:r>
    </w:p>
    <w:p w14:paraId="7DED09B7" w14:textId="77777777" w:rsidR="00790B4C" w:rsidRDefault="00790B4C" w:rsidP="00134653">
      <w:pPr>
        <w:pStyle w:val="NormalWeb"/>
        <w:shd w:val="clear" w:color="auto" w:fill="FFFFFF"/>
        <w:spacing w:before="0" w:beforeAutospacing="0" w:after="0" w:afterAutospacing="0" w:line="276" w:lineRule="auto"/>
      </w:pPr>
    </w:p>
    <w:p w14:paraId="4446A1FF" w14:textId="5A5177AB" w:rsidR="00983209" w:rsidRDefault="00983209" w:rsidP="00F17688"/>
    <w:sectPr w:rsidR="00983209" w:rsidSect="00FF1681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53BCF" w14:textId="77777777" w:rsidR="001547F5" w:rsidRDefault="001547F5" w:rsidP="001931BF">
      <w:pPr>
        <w:spacing w:after="0" w:line="240" w:lineRule="auto"/>
      </w:pPr>
      <w:r>
        <w:separator/>
      </w:r>
    </w:p>
  </w:endnote>
  <w:endnote w:type="continuationSeparator" w:id="0">
    <w:p w14:paraId="4CF106F5" w14:textId="77777777" w:rsidR="001547F5" w:rsidRDefault="001547F5" w:rsidP="0019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17B29" w14:textId="253749DE" w:rsidR="00167F1B" w:rsidRPr="009838E2" w:rsidRDefault="00801E8E">
    <w:pPr>
      <w:pStyle w:val="Footer"/>
      <w:rPr>
        <w:rFonts w:ascii="Times New Roman" w:hAnsi="Times New Roman" w:cs="Times New Roman"/>
      </w:rPr>
    </w:pPr>
    <w:r w:rsidRPr="009838E2">
      <w:rPr>
        <w:rFonts w:ascii="Times New Roman" w:hAnsi="Times New Roman" w:cs="Times New Roman"/>
      </w:rPr>
      <w:t>ASUW Judicial Council Decision</w:t>
    </w:r>
    <w:r w:rsidRPr="009838E2">
      <w:rPr>
        <w:rFonts w:ascii="Times New Roman" w:hAnsi="Times New Roman" w:cs="Times New Roman"/>
      </w:rPr>
      <w:ptab w:relativeTo="margin" w:alignment="center" w:leader="none"/>
    </w:r>
    <w:r w:rsidR="002A0CC3">
      <w:rPr>
        <w:rFonts w:ascii="Times New Roman" w:hAnsi="Times New Roman" w:cs="Times New Roman"/>
      </w:rPr>
      <w:t xml:space="preserve">October </w:t>
    </w:r>
    <w:r w:rsidR="00587E62">
      <w:rPr>
        <w:rFonts w:ascii="Times New Roman" w:hAnsi="Times New Roman" w:cs="Times New Roman"/>
      </w:rPr>
      <w:t>12</w:t>
    </w:r>
    <w:r w:rsidR="002A0CC3" w:rsidRPr="002A0CC3">
      <w:rPr>
        <w:rFonts w:ascii="Times New Roman" w:hAnsi="Times New Roman" w:cs="Times New Roman"/>
        <w:vertAlign w:val="superscript"/>
      </w:rPr>
      <w:t>th</w:t>
    </w:r>
    <w:r w:rsidR="002A0CC3">
      <w:rPr>
        <w:rFonts w:ascii="Times New Roman" w:hAnsi="Times New Roman" w:cs="Times New Roman"/>
      </w:rPr>
      <w:t>, 2020</w:t>
    </w:r>
    <w:r w:rsidRPr="009838E2">
      <w:rPr>
        <w:rFonts w:ascii="Times New Roman" w:hAnsi="Times New Roman" w:cs="Times New Roman"/>
      </w:rPr>
      <w:ptab w:relativeTo="margin" w:alignment="right" w:leader="none"/>
    </w:r>
    <w:r w:rsidR="00FF1681">
      <w:rPr>
        <w:rFonts w:ascii="Times New Roman" w:hAnsi="Times New Roman" w:cs="Times New Roman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B9B0F" w14:textId="5F972943" w:rsidR="00167F1B" w:rsidRPr="009B26A2" w:rsidRDefault="009B26A2">
    <w:pPr>
      <w:pStyle w:val="Footer"/>
      <w:rPr>
        <w:rFonts w:ascii="Times New Roman" w:hAnsi="Times New Roman" w:cs="Times New Roman"/>
      </w:rPr>
    </w:pPr>
    <w:r w:rsidRPr="009B26A2">
      <w:rPr>
        <w:rFonts w:ascii="Times New Roman" w:hAnsi="Times New Roman" w:cs="Times New Roman"/>
      </w:rPr>
      <w:t>ASUW Judicial Council Decision</w:t>
    </w:r>
    <w:r w:rsidRPr="009B26A2">
      <w:rPr>
        <w:rFonts w:ascii="Times New Roman" w:hAnsi="Times New Roman" w:cs="Times New Roman"/>
      </w:rPr>
      <w:ptab w:relativeTo="margin" w:alignment="center" w:leader="none"/>
    </w:r>
    <w:r w:rsidR="008145E0">
      <w:rPr>
        <w:rFonts w:ascii="Times New Roman" w:hAnsi="Times New Roman" w:cs="Times New Roman"/>
      </w:rPr>
      <w:t xml:space="preserve">October </w:t>
    </w:r>
    <w:r w:rsidR="00587E62">
      <w:rPr>
        <w:rFonts w:ascii="Times New Roman" w:hAnsi="Times New Roman" w:cs="Times New Roman"/>
      </w:rPr>
      <w:t>12</w:t>
    </w:r>
    <w:r w:rsidR="008145E0" w:rsidRPr="008145E0">
      <w:rPr>
        <w:rFonts w:ascii="Times New Roman" w:hAnsi="Times New Roman" w:cs="Times New Roman"/>
        <w:vertAlign w:val="superscript"/>
      </w:rPr>
      <w:t>th</w:t>
    </w:r>
    <w:r w:rsidR="0013718F">
      <w:rPr>
        <w:rFonts w:ascii="Times New Roman" w:hAnsi="Times New Roman" w:cs="Times New Roman"/>
      </w:rPr>
      <w:t>, 2020</w:t>
    </w:r>
    <w:r w:rsidRPr="009B26A2">
      <w:rPr>
        <w:rFonts w:ascii="Times New Roman" w:hAnsi="Times New Roman" w:cs="Times New Roman"/>
      </w:rPr>
      <w:ptab w:relativeTo="margin" w:alignment="right" w:leader="none"/>
    </w:r>
    <w:r w:rsidRPr="009B26A2">
      <w:rPr>
        <w:rFonts w:ascii="Times New Roman" w:hAnsi="Times New Roman" w:cs="Times New Roman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DB711" w14:textId="77777777" w:rsidR="001547F5" w:rsidRDefault="001547F5" w:rsidP="001931BF">
      <w:pPr>
        <w:spacing w:after="0" w:line="240" w:lineRule="auto"/>
      </w:pPr>
      <w:r>
        <w:separator/>
      </w:r>
    </w:p>
  </w:footnote>
  <w:footnote w:type="continuationSeparator" w:id="0">
    <w:p w14:paraId="31A42B3B" w14:textId="77777777" w:rsidR="001547F5" w:rsidRDefault="001547F5" w:rsidP="00193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5"/>
      <w:gridCol w:w="1949"/>
      <w:gridCol w:w="3656"/>
      <w:gridCol w:w="378"/>
    </w:tblGrid>
    <w:tr w:rsidR="001931BF" w14:paraId="4A58F46E" w14:textId="77777777" w:rsidTr="00782AB1">
      <w:trPr>
        <w:trHeight w:val="440"/>
      </w:trPr>
      <w:tc>
        <w:tcPr>
          <w:tcW w:w="3215" w:type="dxa"/>
          <w:hideMark/>
        </w:tcPr>
        <w:p w14:paraId="6DD8AF97" w14:textId="77777777" w:rsidR="001931BF" w:rsidRDefault="001931BF" w:rsidP="001931BF">
          <w:pPr>
            <w:pStyle w:val="Header"/>
            <w:rPr>
              <w:rFonts w:ascii="Garamond" w:hAnsi="Garamond"/>
              <w:sz w:val="28"/>
            </w:rPr>
          </w:pPr>
        </w:p>
        <w:p w14:paraId="2CD5229A" w14:textId="77777777" w:rsidR="001931BF" w:rsidRDefault="001931BF" w:rsidP="001931BF">
          <w:pPr>
            <w:pStyle w:val="Header"/>
            <w:rPr>
              <w:rFonts w:ascii="Garamond" w:hAnsi="Garamond"/>
              <w:sz w:val="27"/>
              <w:szCs w:val="27"/>
            </w:rPr>
          </w:pPr>
        </w:p>
      </w:tc>
      <w:tc>
        <w:tcPr>
          <w:tcW w:w="1949" w:type="dxa"/>
          <w:vMerge w:val="restart"/>
          <w:hideMark/>
        </w:tcPr>
        <w:p w14:paraId="079D3368" w14:textId="77777777" w:rsidR="001931BF" w:rsidRDefault="001931BF" w:rsidP="001931BF">
          <w:pPr>
            <w:pStyle w:val="Header"/>
            <w:jc w:val="center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inline distT="0" distB="0" distL="0" distR="0" wp14:anchorId="0C1CC1D9" wp14:editId="4645651E">
                <wp:extent cx="914400" cy="914400"/>
                <wp:effectExtent l="0" t="0" r="0" b="0"/>
                <wp:docPr id="3" name="Picture 3" descr="A black sign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SUW Logo-mix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6" w:type="dxa"/>
          <w:hideMark/>
        </w:tcPr>
        <w:p w14:paraId="34C9DEDE" w14:textId="77777777" w:rsidR="001931BF" w:rsidRDefault="001931BF" w:rsidP="001931BF">
          <w:pPr>
            <w:pStyle w:val="Header"/>
            <w:jc w:val="right"/>
            <w:rPr>
              <w:rFonts w:ascii="Garamond" w:hAnsi="Garamond"/>
              <w:sz w:val="26"/>
              <w:szCs w:val="26"/>
            </w:rPr>
          </w:pPr>
          <w:r>
            <w:rPr>
              <w:rFonts w:ascii="Garamond" w:hAnsi="Garamond"/>
              <w:sz w:val="26"/>
              <w:szCs w:val="26"/>
            </w:rPr>
            <w:t xml:space="preserve"> </w:t>
          </w:r>
        </w:p>
        <w:p w14:paraId="3F77CC6E" w14:textId="77777777" w:rsidR="001931BF" w:rsidRDefault="001931BF" w:rsidP="001931BF">
          <w:pPr>
            <w:pStyle w:val="Header"/>
            <w:jc w:val="right"/>
            <w:rPr>
              <w:rFonts w:ascii="Garamond" w:hAnsi="Garamond"/>
              <w:sz w:val="25"/>
              <w:szCs w:val="25"/>
            </w:rPr>
          </w:pPr>
        </w:p>
      </w:tc>
      <w:tc>
        <w:tcPr>
          <w:tcW w:w="378" w:type="dxa"/>
        </w:tcPr>
        <w:p w14:paraId="71EA735F" w14:textId="77777777" w:rsidR="001931BF" w:rsidRDefault="001931BF" w:rsidP="001931BF">
          <w:pPr>
            <w:pStyle w:val="Header"/>
            <w:jc w:val="right"/>
            <w:rPr>
              <w:rFonts w:ascii="Garamond" w:hAnsi="Garamond"/>
              <w:sz w:val="24"/>
            </w:rPr>
          </w:pPr>
        </w:p>
      </w:tc>
    </w:tr>
    <w:tr w:rsidR="001931BF" w14:paraId="1FD010AF" w14:textId="77777777" w:rsidTr="00782AB1">
      <w:trPr>
        <w:trHeight w:val="350"/>
      </w:trPr>
      <w:tc>
        <w:tcPr>
          <w:tcW w:w="3215" w:type="dxa"/>
          <w:hideMark/>
        </w:tcPr>
        <w:p w14:paraId="51A5EF9C" w14:textId="77777777" w:rsidR="001931BF" w:rsidRPr="002A2C94" w:rsidRDefault="001931BF" w:rsidP="001931BF">
          <w:pPr>
            <w:pStyle w:val="Header"/>
            <w:rPr>
              <w:rFonts w:ascii="Times New Roman" w:hAnsi="Times New Roman" w:cs="Times New Roman"/>
              <w:sz w:val="24"/>
            </w:rPr>
          </w:pPr>
          <w:r w:rsidRPr="002A2C94">
            <w:rPr>
              <w:rFonts w:ascii="Times New Roman" w:hAnsi="Times New Roman" w:cs="Times New Roman"/>
              <w:sz w:val="24"/>
            </w:rPr>
            <w:t>ASUW Judicial Council</w:t>
          </w:r>
        </w:p>
        <w:p w14:paraId="65E610BB" w14:textId="77777777" w:rsidR="001931BF" w:rsidRPr="002A2C94" w:rsidRDefault="001931BF" w:rsidP="001931BF">
          <w:pPr>
            <w:pStyle w:val="Header"/>
            <w:rPr>
              <w:rFonts w:ascii="Times New Roman" w:hAnsi="Times New Roman" w:cs="Times New Roman"/>
              <w:sz w:val="18"/>
            </w:rPr>
          </w:pPr>
          <w:r w:rsidRPr="002A2C94">
            <w:rPr>
              <w:rFonts w:ascii="Times New Roman" w:hAnsi="Times New Roman" w:cs="Times New Roman"/>
              <w:sz w:val="18"/>
            </w:rPr>
            <w:t>020 Wyoming Union</w:t>
          </w:r>
        </w:p>
        <w:p w14:paraId="461CC6B3" w14:textId="77777777" w:rsidR="001931BF" w:rsidRPr="002A2C94" w:rsidRDefault="001931BF" w:rsidP="001931BF">
          <w:pPr>
            <w:pStyle w:val="Header"/>
            <w:rPr>
              <w:rFonts w:ascii="Times New Roman" w:hAnsi="Times New Roman" w:cs="Times New Roman"/>
              <w:sz w:val="18"/>
            </w:rPr>
          </w:pPr>
          <w:r w:rsidRPr="002A2C94">
            <w:rPr>
              <w:rFonts w:ascii="Times New Roman" w:hAnsi="Times New Roman" w:cs="Times New Roman"/>
              <w:sz w:val="18"/>
            </w:rPr>
            <w:t>307-766-5204</w:t>
          </w:r>
        </w:p>
        <w:p w14:paraId="58FFA907" w14:textId="77777777" w:rsidR="001931BF" w:rsidRDefault="001931BF" w:rsidP="001931BF">
          <w:pPr>
            <w:pStyle w:val="Header"/>
            <w:rPr>
              <w:rFonts w:ascii="Garamond" w:hAnsi="Garamond"/>
            </w:rPr>
          </w:pPr>
          <w:r w:rsidRPr="002A2C94">
            <w:rPr>
              <w:rFonts w:ascii="Times New Roman" w:hAnsi="Times New Roman" w:cs="Times New Roman"/>
              <w:sz w:val="18"/>
            </w:rPr>
            <w:t>asuwjc@uwyo.edu</w:t>
          </w:r>
        </w:p>
      </w:tc>
      <w:tc>
        <w:tcPr>
          <w:tcW w:w="0" w:type="auto"/>
          <w:vMerge/>
          <w:vAlign w:val="center"/>
          <w:hideMark/>
        </w:tcPr>
        <w:p w14:paraId="63044FE0" w14:textId="77777777" w:rsidR="001931BF" w:rsidRDefault="001931BF" w:rsidP="001931BF">
          <w:pPr>
            <w:rPr>
              <w:rFonts w:ascii="Garamond" w:hAnsi="Garamond"/>
            </w:rPr>
          </w:pPr>
        </w:p>
      </w:tc>
      <w:tc>
        <w:tcPr>
          <w:tcW w:w="3656" w:type="dxa"/>
          <w:hideMark/>
        </w:tcPr>
        <w:p w14:paraId="37793884" w14:textId="77777777" w:rsidR="001931BF" w:rsidRPr="002A2C94" w:rsidRDefault="001931BF" w:rsidP="001931BF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2A2C94">
            <w:rPr>
              <w:rFonts w:ascii="Times New Roman" w:hAnsi="Times New Roman" w:cs="Times New Roman"/>
              <w:sz w:val="24"/>
              <w:szCs w:val="24"/>
            </w:rPr>
            <w:t xml:space="preserve">  Nicole D. Sanders- Chief Justice</w:t>
          </w:r>
        </w:p>
      </w:tc>
      <w:tc>
        <w:tcPr>
          <w:tcW w:w="378" w:type="dxa"/>
        </w:tcPr>
        <w:p w14:paraId="4079E842" w14:textId="77777777" w:rsidR="001931BF" w:rsidRDefault="001931BF" w:rsidP="001931BF">
          <w:pPr>
            <w:pStyle w:val="Header"/>
            <w:jc w:val="right"/>
            <w:rPr>
              <w:rFonts w:ascii="Garamond" w:hAnsi="Garamond"/>
              <w:sz w:val="24"/>
            </w:rPr>
          </w:pPr>
        </w:p>
      </w:tc>
    </w:tr>
  </w:tbl>
  <w:p w14:paraId="6CF4A536" w14:textId="77777777" w:rsidR="001931BF" w:rsidRDefault="001931BF" w:rsidP="009D7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5"/>
      <w:gridCol w:w="1949"/>
      <w:gridCol w:w="3656"/>
      <w:gridCol w:w="378"/>
    </w:tblGrid>
    <w:tr w:rsidR="002A2C94" w14:paraId="096AC97F" w14:textId="77777777" w:rsidTr="00782AB1">
      <w:trPr>
        <w:trHeight w:val="440"/>
      </w:trPr>
      <w:tc>
        <w:tcPr>
          <w:tcW w:w="3215" w:type="dxa"/>
          <w:hideMark/>
        </w:tcPr>
        <w:p w14:paraId="333B1AE6" w14:textId="77777777" w:rsidR="002A2C94" w:rsidRDefault="002A2C94" w:rsidP="002A2C94">
          <w:pPr>
            <w:pStyle w:val="Header"/>
            <w:rPr>
              <w:rFonts w:ascii="Garamond" w:hAnsi="Garamond"/>
              <w:sz w:val="28"/>
            </w:rPr>
          </w:pPr>
        </w:p>
        <w:p w14:paraId="7D83B082" w14:textId="77777777" w:rsidR="002A2C94" w:rsidRDefault="002A2C94" w:rsidP="002A2C94">
          <w:pPr>
            <w:pStyle w:val="Header"/>
            <w:rPr>
              <w:rFonts w:ascii="Garamond" w:hAnsi="Garamond"/>
              <w:sz w:val="27"/>
              <w:szCs w:val="27"/>
            </w:rPr>
          </w:pPr>
        </w:p>
      </w:tc>
      <w:tc>
        <w:tcPr>
          <w:tcW w:w="1949" w:type="dxa"/>
          <w:vMerge w:val="restart"/>
          <w:hideMark/>
        </w:tcPr>
        <w:p w14:paraId="40176BF4" w14:textId="77777777" w:rsidR="002A2C94" w:rsidRDefault="002A2C94" w:rsidP="002A2C94">
          <w:pPr>
            <w:pStyle w:val="Header"/>
            <w:jc w:val="center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inline distT="0" distB="0" distL="0" distR="0" wp14:anchorId="0E0DA6E8" wp14:editId="3CC8D68B">
                <wp:extent cx="914400" cy="914400"/>
                <wp:effectExtent l="0" t="0" r="0" b="0"/>
                <wp:docPr id="1" name="Picture 1" descr="A black sign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SUW Logo-mix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6" w:type="dxa"/>
          <w:hideMark/>
        </w:tcPr>
        <w:p w14:paraId="5D954BE0" w14:textId="77777777" w:rsidR="002A2C94" w:rsidRDefault="002A2C94" w:rsidP="002A2C94">
          <w:pPr>
            <w:pStyle w:val="Header"/>
            <w:jc w:val="right"/>
            <w:rPr>
              <w:rFonts w:ascii="Garamond" w:hAnsi="Garamond"/>
              <w:sz w:val="26"/>
              <w:szCs w:val="26"/>
            </w:rPr>
          </w:pPr>
          <w:r>
            <w:rPr>
              <w:rFonts w:ascii="Garamond" w:hAnsi="Garamond"/>
              <w:sz w:val="26"/>
              <w:szCs w:val="26"/>
            </w:rPr>
            <w:t xml:space="preserve"> </w:t>
          </w:r>
        </w:p>
        <w:p w14:paraId="438CC138" w14:textId="77777777" w:rsidR="002A2C94" w:rsidRDefault="002A2C94" w:rsidP="002A2C94">
          <w:pPr>
            <w:pStyle w:val="Header"/>
            <w:jc w:val="right"/>
            <w:rPr>
              <w:rFonts w:ascii="Garamond" w:hAnsi="Garamond"/>
              <w:sz w:val="25"/>
              <w:szCs w:val="25"/>
            </w:rPr>
          </w:pPr>
        </w:p>
      </w:tc>
      <w:tc>
        <w:tcPr>
          <w:tcW w:w="378" w:type="dxa"/>
        </w:tcPr>
        <w:p w14:paraId="09DD49F4" w14:textId="77777777" w:rsidR="002A2C94" w:rsidRDefault="002A2C94" w:rsidP="002A2C94">
          <w:pPr>
            <w:pStyle w:val="Header"/>
            <w:jc w:val="right"/>
            <w:rPr>
              <w:rFonts w:ascii="Garamond" w:hAnsi="Garamond"/>
              <w:sz w:val="24"/>
            </w:rPr>
          </w:pPr>
        </w:p>
      </w:tc>
    </w:tr>
    <w:tr w:rsidR="002A2C94" w14:paraId="6969772B" w14:textId="77777777" w:rsidTr="00782AB1">
      <w:trPr>
        <w:trHeight w:val="350"/>
      </w:trPr>
      <w:tc>
        <w:tcPr>
          <w:tcW w:w="3215" w:type="dxa"/>
          <w:hideMark/>
        </w:tcPr>
        <w:p w14:paraId="60C0B4EC" w14:textId="77777777" w:rsidR="002A2C94" w:rsidRPr="002A2C94" w:rsidRDefault="002A2C94" w:rsidP="002A2C94">
          <w:pPr>
            <w:pStyle w:val="Header"/>
            <w:rPr>
              <w:rFonts w:ascii="Times New Roman" w:hAnsi="Times New Roman" w:cs="Times New Roman"/>
              <w:sz w:val="24"/>
            </w:rPr>
          </w:pPr>
          <w:r w:rsidRPr="002A2C94">
            <w:rPr>
              <w:rFonts w:ascii="Times New Roman" w:hAnsi="Times New Roman" w:cs="Times New Roman"/>
              <w:sz w:val="24"/>
            </w:rPr>
            <w:t>ASUW Judicial Council</w:t>
          </w:r>
        </w:p>
        <w:p w14:paraId="5BE9ACE1" w14:textId="77777777" w:rsidR="002A2C94" w:rsidRPr="002A2C94" w:rsidRDefault="002A2C94" w:rsidP="002A2C94">
          <w:pPr>
            <w:pStyle w:val="Header"/>
            <w:rPr>
              <w:rFonts w:ascii="Times New Roman" w:hAnsi="Times New Roman" w:cs="Times New Roman"/>
              <w:sz w:val="18"/>
            </w:rPr>
          </w:pPr>
          <w:r w:rsidRPr="002A2C94">
            <w:rPr>
              <w:rFonts w:ascii="Times New Roman" w:hAnsi="Times New Roman" w:cs="Times New Roman"/>
              <w:sz w:val="18"/>
            </w:rPr>
            <w:t>020 Wyoming Union</w:t>
          </w:r>
        </w:p>
        <w:p w14:paraId="2E9A2A34" w14:textId="77777777" w:rsidR="002A2C94" w:rsidRPr="002A2C94" w:rsidRDefault="002A2C94" w:rsidP="002A2C94">
          <w:pPr>
            <w:pStyle w:val="Header"/>
            <w:rPr>
              <w:rFonts w:ascii="Times New Roman" w:hAnsi="Times New Roman" w:cs="Times New Roman"/>
              <w:sz w:val="18"/>
            </w:rPr>
          </w:pPr>
          <w:r w:rsidRPr="002A2C94">
            <w:rPr>
              <w:rFonts w:ascii="Times New Roman" w:hAnsi="Times New Roman" w:cs="Times New Roman"/>
              <w:sz w:val="18"/>
            </w:rPr>
            <w:t>307-766-5204</w:t>
          </w:r>
        </w:p>
        <w:p w14:paraId="6B51C708" w14:textId="77777777" w:rsidR="002A2C94" w:rsidRDefault="002A2C94" w:rsidP="002A2C94">
          <w:pPr>
            <w:pStyle w:val="Header"/>
            <w:rPr>
              <w:rFonts w:ascii="Garamond" w:hAnsi="Garamond"/>
            </w:rPr>
          </w:pPr>
          <w:r w:rsidRPr="002A2C94">
            <w:rPr>
              <w:rFonts w:ascii="Times New Roman" w:hAnsi="Times New Roman" w:cs="Times New Roman"/>
              <w:sz w:val="18"/>
            </w:rPr>
            <w:t>asuwjc@uwyo.edu</w:t>
          </w:r>
        </w:p>
      </w:tc>
      <w:tc>
        <w:tcPr>
          <w:tcW w:w="0" w:type="auto"/>
          <w:vMerge/>
          <w:vAlign w:val="center"/>
          <w:hideMark/>
        </w:tcPr>
        <w:p w14:paraId="3B4D7C50" w14:textId="77777777" w:rsidR="002A2C94" w:rsidRDefault="002A2C94" w:rsidP="002A2C94">
          <w:pPr>
            <w:rPr>
              <w:rFonts w:ascii="Garamond" w:hAnsi="Garamond"/>
            </w:rPr>
          </w:pPr>
        </w:p>
      </w:tc>
      <w:tc>
        <w:tcPr>
          <w:tcW w:w="3656" w:type="dxa"/>
          <w:hideMark/>
        </w:tcPr>
        <w:p w14:paraId="26A6CD06" w14:textId="77777777" w:rsidR="002A2C94" w:rsidRPr="002A2C94" w:rsidRDefault="002A2C94" w:rsidP="002A2C94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2A2C94">
            <w:rPr>
              <w:rFonts w:ascii="Times New Roman" w:hAnsi="Times New Roman" w:cs="Times New Roman"/>
              <w:sz w:val="24"/>
              <w:szCs w:val="24"/>
            </w:rPr>
            <w:t xml:space="preserve">  Nicole D. Sanders- Chief Justice</w:t>
          </w:r>
        </w:p>
      </w:tc>
      <w:tc>
        <w:tcPr>
          <w:tcW w:w="378" w:type="dxa"/>
        </w:tcPr>
        <w:p w14:paraId="68142F5A" w14:textId="77777777" w:rsidR="002A2C94" w:rsidRDefault="002A2C94" w:rsidP="002A2C94">
          <w:pPr>
            <w:pStyle w:val="Header"/>
            <w:jc w:val="right"/>
            <w:rPr>
              <w:rFonts w:ascii="Garamond" w:hAnsi="Garamond"/>
              <w:sz w:val="24"/>
            </w:rPr>
          </w:pPr>
        </w:p>
      </w:tc>
    </w:tr>
  </w:tbl>
  <w:p w14:paraId="66566051" w14:textId="77777777" w:rsidR="002A2C94" w:rsidRDefault="002A2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60D5C"/>
    <w:multiLevelType w:val="hybridMultilevel"/>
    <w:tmpl w:val="0556F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2484B"/>
    <w:multiLevelType w:val="hybridMultilevel"/>
    <w:tmpl w:val="B53A0378"/>
    <w:lvl w:ilvl="0" w:tplc="80C444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00430"/>
    <w:multiLevelType w:val="hybridMultilevel"/>
    <w:tmpl w:val="A9326834"/>
    <w:lvl w:ilvl="0" w:tplc="A4D8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9B778C"/>
    <w:multiLevelType w:val="hybridMultilevel"/>
    <w:tmpl w:val="6270C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53"/>
    <w:rsid w:val="00004879"/>
    <w:rsid w:val="00017000"/>
    <w:rsid w:val="00057C2A"/>
    <w:rsid w:val="00064C58"/>
    <w:rsid w:val="00075688"/>
    <w:rsid w:val="00085320"/>
    <w:rsid w:val="000873F8"/>
    <w:rsid w:val="000A7180"/>
    <w:rsid w:val="000C144C"/>
    <w:rsid w:val="000D0B17"/>
    <w:rsid w:val="00105DCF"/>
    <w:rsid w:val="001261E1"/>
    <w:rsid w:val="00134653"/>
    <w:rsid w:val="00136A11"/>
    <w:rsid w:val="0013718F"/>
    <w:rsid w:val="00150BB5"/>
    <w:rsid w:val="001530EA"/>
    <w:rsid w:val="001547F5"/>
    <w:rsid w:val="0015625E"/>
    <w:rsid w:val="00165B3D"/>
    <w:rsid w:val="00167F1B"/>
    <w:rsid w:val="00180647"/>
    <w:rsid w:val="001931BF"/>
    <w:rsid w:val="001943B2"/>
    <w:rsid w:val="001A1B40"/>
    <w:rsid w:val="001C568F"/>
    <w:rsid w:val="001C6F8F"/>
    <w:rsid w:val="001C7B1E"/>
    <w:rsid w:val="001C7F15"/>
    <w:rsid w:val="001F6735"/>
    <w:rsid w:val="001F700A"/>
    <w:rsid w:val="00213775"/>
    <w:rsid w:val="00215E21"/>
    <w:rsid w:val="00230066"/>
    <w:rsid w:val="00231A56"/>
    <w:rsid w:val="0023641D"/>
    <w:rsid w:val="00256221"/>
    <w:rsid w:val="00297584"/>
    <w:rsid w:val="002A0CC3"/>
    <w:rsid w:val="002A1CD4"/>
    <w:rsid w:val="002A2C94"/>
    <w:rsid w:val="002B1187"/>
    <w:rsid w:val="002C1A93"/>
    <w:rsid w:val="002D16D6"/>
    <w:rsid w:val="002D4DFD"/>
    <w:rsid w:val="002E076A"/>
    <w:rsid w:val="002E7864"/>
    <w:rsid w:val="00302EE7"/>
    <w:rsid w:val="00307A13"/>
    <w:rsid w:val="0031037D"/>
    <w:rsid w:val="00334658"/>
    <w:rsid w:val="00346F26"/>
    <w:rsid w:val="00371D48"/>
    <w:rsid w:val="00375692"/>
    <w:rsid w:val="003A1880"/>
    <w:rsid w:val="003C4533"/>
    <w:rsid w:val="003E517A"/>
    <w:rsid w:val="003E5233"/>
    <w:rsid w:val="003F45F7"/>
    <w:rsid w:val="00407D49"/>
    <w:rsid w:val="004354CF"/>
    <w:rsid w:val="00457547"/>
    <w:rsid w:val="004609EE"/>
    <w:rsid w:val="004D25BF"/>
    <w:rsid w:val="004F556E"/>
    <w:rsid w:val="00506C0E"/>
    <w:rsid w:val="005100C7"/>
    <w:rsid w:val="005271BE"/>
    <w:rsid w:val="00587E62"/>
    <w:rsid w:val="00590D54"/>
    <w:rsid w:val="005A34C4"/>
    <w:rsid w:val="005B3F5D"/>
    <w:rsid w:val="005F4933"/>
    <w:rsid w:val="005F71FC"/>
    <w:rsid w:val="00611EB7"/>
    <w:rsid w:val="0064097F"/>
    <w:rsid w:val="00661165"/>
    <w:rsid w:val="00676AF0"/>
    <w:rsid w:val="00680707"/>
    <w:rsid w:val="006A7CCC"/>
    <w:rsid w:val="006B5CAE"/>
    <w:rsid w:val="006D7BBF"/>
    <w:rsid w:val="006E7606"/>
    <w:rsid w:val="006F7836"/>
    <w:rsid w:val="007311FD"/>
    <w:rsid w:val="007507EA"/>
    <w:rsid w:val="00754726"/>
    <w:rsid w:val="00754FC5"/>
    <w:rsid w:val="0075682F"/>
    <w:rsid w:val="00774485"/>
    <w:rsid w:val="0079021C"/>
    <w:rsid w:val="00790B4C"/>
    <w:rsid w:val="007C0527"/>
    <w:rsid w:val="007C6B4E"/>
    <w:rsid w:val="007E0624"/>
    <w:rsid w:val="007E1A72"/>
    <w:rsid w:val="007F6537"/>
    <w:rsid w:val="00801517"/>
    <w:rsid w:val="00801E8E"/>
    <w:rsid w:val="008145E0"/>
    <w:rsid w:val="00827111"/>
    <w:rsid w:val="008366A3"/>
    <w:rsid w:val="008B3AD1"/>
    <w:rsid w:val="008C7760"/>
    <w:rsid w:val="008F38EC"/>
    <w:rsid w:val="008F4BFC"/>
    <w:rsid w:val="00904590"/>
    <w:rsid w:val="00951625"/>
    <w:rsid w:val="009621CA"/>
    <w:rsid w:val="00963D2C"/>
    <w:rsid w:val="0097166D"/>
    <w:rsid w:val="00980620"/>
    <w:rsid w:val="00983209"/>
    <w:rsid w:val="009838E2"/>
    <w:rsid w:val="00993EE0"/>
    <w:rsid w:val="009968F1"/>
    <w:rsid w:val="009B26A2"/>
    <w:rsid w:val="009B2FD1"/>
    <w:rsid w:val="009C7821"/>
    <w:rsid w:val="009D708D"/>
    <w:rsid w:val="00A23941"/>
    <w:rsid w:val="00A27D8C"/>
    <w:rsid w:val="00A35BEC"/>
    <w:rsid w:val="00A64EF8"/>
    <w:rsid w:val="00A908D9"/>
    <w:rsid w:val="00A962C5"/>
    <w:rsid w:val="00AB1BF5"/>
    <w:rsid w:val="00AE2408"/>
    <w:rsid w:val="00B11DA1"/>
    <w:rsid w:val="00B716A3"/>
    <w:rsid w:val="00BB0C2C"/>
    <w:rsid w:val="00BB298B"/>
    <w:rsid w:val="00BB7616"/>
    <w:rsid w:val="00BC17B3"/>
    <w:rsid w:val="00BD428F"/>
    <w:rsid w:val="00BE4565"/>
    <w:rsid w:val="00BF5EDF"/>
    <w:rsid w:val="00C32562"/>
    <w:rsid w:val="00C41BE5"/>
    <w:rsid w:val="00C73FAB"/>
    <w:rsid w:val="00C84311"/>
    <w:rsid w:val="00C95586"/>
    <w:rsid w:val="00CA0208"/>
    <w:rsid w:val="00CC2E5A"/>
    <w:rsid w:val="00CC477E"/>
    <w:rsid w:val="00CC49D0"/>
    <w:rsid w:val="00CD53F3"/>
    <w:rsid w:val="00CE77E9"/>
    <w:rsid w:val="00D011E4"/>
    <w:rsid w:val="00D07B9E"/>
    <w:rsid w:val="00D45397"/>
    <w:rsid w:val="00D821D2"/>
    <w:rsid w:val="00D958E3"/>
    <w:rsid w:val="00DD6CF2"/>
    <w:rsid w:val="00E1207A"/>
    <w:rsid w:val="00E23359"/>
    <w:rsid w:val="00E35326"/>
    <w:rsid w:val="00E43DAA"/>
    <w:rsid w:val="00E4553B"/>
    <w:rsid w:val="00E62E1F"/>
    <w:rsid w:val="00E7642F"/>
    <w:rsid w:val="00EB5192"/>
    <w:rsid w:val="00ED35DC"/>
    <w:rsid w:val="00ED56D8"/>
    <w:rsid w:val="00F10900"/>
    <w:rsid w:val="00F17688"/>
    <w:rsid w:val="00F24C39"/>
    <w:rsid w:val="00FB0686"/>
    <w:rsid w:val="00FB53F5"/>
    <w:rsid w:val="00FC1BF2"/>
    <w:rsid w:val="00FD178B"/>
    <w:rsid w:val="00FE765D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1F00D"/>
  <w15:chartTrackingRefBased/>
  <w15:docId w15:val="{0FF119F1-3F52-4DFC-B4D8-79ED9608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53"/>
    <w:pPr>
      <w:spacing w:line="259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6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3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1BF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93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1BF"/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1931B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3E0CFEEDA304A84977A63C563D098" ma:contentTypeVersion="12" ma:contentTypeDescription="Create a new document." ma:contentTypeScope="" ma:versionID="846037b3336aa3fbd2aaa305d125aa10">
  <xsd:schema xmlns:xsd="http://www.w3.org/2001/XMLSchema" xmlns:xs="http://www.w3.org/2001/XMLSchema" xmlns:p="http://schemas.microsoft.com/office/2006/metadata/properties" xmlns:ns3="2474bb7f-5b86-44f0-9297-f07d4f50ce88" xmlns:ns4="8ef608b4-2431-4418-97da-be8799b604f2" targetNamespace="http://schemas.microsoft.com/office/2006/metadata/properties" ma:root="true" ma:fieldsID="1bb347f86d15c66c2014266cfa02eaf1" ns3:_="" ns4:_="">
    <xsd:import namespace="2474bb7f-5b86-44f0-9297-f07d4f50ce88"/>
    <xsd:import namespace="8ef608b4-2431-4418-97da-be8799b604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4bb7f-5b86-44f0-9297-f07d4f50c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608b4-2431-4418-97da-be8799b60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83148C-82E4-4055-8864-F8F3347FC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4bb7f-5b86-44f0-9297-f07d4f50ce88"/>
    <ds:schemaRef ds:uri="8ef608b4-2431-4418-97da-be8799b60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098675-5E50-4A4D-B794-B7791F3B9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B883F-5BEC-42E7-9C0B-142BC6C796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Delaney Sanders</dc:creator>
  <cp:keywords/>
  <dc:description/>
  <cp:lastModifiedBy>Nicole Delaney Sanders</cp:lastModifiedBy>
  <cp:revision>70</cp:revision>
  <dcterms:created xsi:type="dcterms:W3CDTF">2020-10-09T00:17:00Z</dcterms:created>
  <dcterms:modified xsi:type="dcterms:W3CDTF">2020-10-12T23:11:00Z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0x0101003063E0CFEEDA304A84977A63C563D098</vt:lpwstr>
  </property>
</Properties>
</file>