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FA904" w14:textId="77777777" w:rsidR="001931BF" w:rsidRDefault="001931BF" w:rsidP="00134653">
      <w:pPr>
        <w:rPr>
          <w:rFonts w:ascii="Times New Roman" w:hAnsi="Times New Roman" w:cs="Times New Roman"/>
          <w:sz w:val="24"/>
        </w:rPr>
      </w:pPr>
    </w:p>
    <w:p w14:paraId="02BD3A39" w14:textId="33F1091A" w:rsidR="00134653" w:rsidRPr="009D708D" w:rsidRDefault="00134653" w:rsidP="009D708D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9D708D">
        <w:rPr>
          <w:rFonts w:ascii="Times New Roman" w:hAnsi="Times New Roman" w:cs="Times New Roman"/>
          <w:b/>
          <w:bCs/>
          <w:sz w:val="24"/>
          <w:u w:val="single"/>
        </w:rPr>
        <w:t>Request for Interpretation:</w:t>
      </w:r>
      <w:r w:rsidR="005100C7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bookmarkStart w:id="0" w:name="_Hlk32856144"/>
      <w:r w:rsidR="005100C7">
        <w:rPr>
          <w:rFonts w:ascii="Times New Roman" w:hAnsi="Times New Roman" w:cs="Times New Roman"/>
          <w:b/>
          <w:bCs/>
          <w:sz w:val="24"/>
          <w:u w:val="single"/>
        </w:rPr>
        <w:t xml:space="preserve">ASUW </w:t>
      </w:r>
      <w:r w:rsidR="00757892">
        <w:rPr>
          <w:rFonts w:ascii="Times New Roman" w:hAnsi="Times New Roman" w:cs="Times New Roman"/>
          <w:b/>
          <w:bCs/>
          <w:sz w:val="24"/>
          <w:u w:val="single"/>
        </w:rPr>
        <w:t>Constitution</w:t>
      </w:r>
      <w:r w:rsidR="005100C7">
        <w:rPr>
          <w:rFonts w:ascii="Times New Roman" w:hAnsi="Times New Roman" w:cs="Times New Roman"/>
          <w:b/>
          <w:bCs/>
          <w:sz w:val="24"/>
          <w:u w:val="single"/>
        </w:rPr>
        <w:t xml:space="preserve">, </w:t>
      </w:r>
      <w:bookmarkEnd w:id="0"/>
      <w:r w:rsidR="00757892" w:rsidRPr="00757892">
        <w:rPr>
          <w:rFonts w:ascii="Times New Roman" w:hAnsi="Times New Roman" w:cs="Times New Roman"/>
          <w:b/>
          <w:bCs/>
          <w:sz w:val="24"/>
          <w:u w:val="single"/>
        </w:rPr>
        <w:t>Article VI, Section 1, subsection B</w:t>
      </w:r>
    </w:p>
    <w:p w14:paraId="306F514F" w14:textId="175D2306" w:rsidR="00134653" w:rsidRDefault="00134653" w:rsidP="001346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Justice Sanders </w:t>
      </w:r>
      <w:r w:rsidR="004F556E">
        <w:rPr>
          <w:rFonts w:ascii="Times New Roman" w:hAnsi="Times New Roman" w:cs="Times New Roman"/>
          <w:sz w:val="24"/>
        </w:rPr>
        <w:t>delivered</w:t>
      </w:r>
      <w:r>
        <w:rPr>
          <w:rFonts w:ascii="Times New Roman" w:hAnsi="Times New Roman" w:cs="Times New Roman"/>
          <w:sz w:val="24"/>
        </w:rPr>
        <w:t xml:space="preserve"> the Majority Opinion of the Judicial Council on </w:t>
      </w:r>
      <w:r w:rsidR="007D1E57">
        <w:rPr>
          <w:rFonts w:ascii="Times New Roman" w:hAnsi="Times New Roman" w:cs="Times New Roman"/>
          <w:sz w:val="24"/>
        </w:rPr>
        <w:t>October 20</w:t>
      </w:r>
      <w:r w:rsidR="007D1E57" w:rsidRPr="007D1E57">
        <w:rPr>
          <w:rFonts w:ascii="Times New Roman" w:hAnsi="Times New Roman" w:cs="Times New Roman"/>
          <w:sz w:val="24"/>
          <w:vertAlign w:val="superscript"/>
        </w:rPr>
        <w:t>th</w:t>
      </w:r>
      <w:r w:rsidR="007D1E57">
        <w:rPr>
          <w:rFonts w:ascii="Times New Roman" w:hAnsi="Times New Roman" w:cs="Times New Roman"/>
          <w:sz w:val="24"/>
        </w:rPr>
        <w:t>, 2020</w:t>
      </w:r>
      <w:r w:rsidR="00FE765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which Associate Justices </w:t>
      </w:r>
      <w:r w:rsidR="007E0624">
        <w:rPr>
          <w:rFonts w:ascii="Times New Roman" w:hAnsi="Times New Roman" w:cs="Times New Roman"/>
          <w:sz w:val="24"/>
        </w:rPr>
        <w:t xml:space="preserve">Bellamy, </w:t>
      </w:r>
      <w:r w:rsidR="009835D2">
        <w:rPr>
          <w:rFonts w:ascii="Times New Roman" w:hAnsi="Times New Roman" w:cs="Times New Roman"/>
          <w:sz w:val="24"/>
        </w:rPr>
        <w:t xml:space="preserve">Campbell, </w:t>
      </w:r>
      <w:r>
        <w:rPr>
          <w:rFonts w:ascii="Times New Roman" w:hAnsi="Times New Roman" w:cs="Times New Roman"/>
          <w:sz w:val="24"/>
        </w:rPr>
        <w:t xml:space="preserve">Cloud, </w:t>
      </w:r>
      <w:r w:rsidR="009835D2">
        <w:rPr>
          <w:rFonts w:ascii="Times New Roman" w:hAnsi="Times New Roman" w:cs="Times New Roman"/>
          <w:sz w:val="24"/>
        </w:rPr>
        <w:t xml:space="preserve">De Meillon, </w:t>
      </w:r>
      <w:r>
        <w:rPr>
          <w:rFonts w:ascii="Times New Roman" w:hAnsi="Times New Roman" w:cs="Times New Roman"/>
          <w:sz w:val="24"/>
        </w:rPr>
        <w:t>Gruntmeir, and</w:t>
      </w:r>
      <w:r w:rsidR="00FE765D">
        <w:rPr>
          <w:rFonts w:ascii="Times New Roman" w:hAnsi="Times New Roman" w:cs="Times New Roman"/>
          <w:sz w:val="24"/>
        </w:rPr>
        <w:t xml:space="preserve"> Jackson</w:t>
      </w:r>
      <w:r>
        <w:rPr>
          <w:rFonts w:ascii="Times New Roman" w:hAnsi="Times New Roman" w:cs="Times New Roman"/>
          <w:sz w:val="24"/>
        </w:rPr>
        <w:t xml:space="preserve"> joined.</w:t>
      </w:r>
    </w:p>
    <w:p w14:paraId="3EA6AFDB" w14:textId="77777777" w:rsidR="00134653" w:rsidRPr="00167F1B" w:rsidRDefault="00134653" w:rsidP="00134653">
      <w:pPr>
        <w:rPr>
          <w:rFonts w:ascii="Times New Roman" w:hAnsi="Times New Roman" w:cs="Times New Roman"/>
          <w:b/>
          <w:bCs/>
          <w:sz w:val="24"/>
        </w:rPr>
      </w:pPr>
      <w:r w:rsidRPr="00167F1B">
        <w:rPr>
          <w:rFonts w:ascii="Times New Roman" w:hAnsi="Times New Roman" w:cs="Times New Roman"/>
          <w:b/>
          <w:bCs/>
          <w:sz w:val="24"/>
        </w:rPr>
        <w:t>Question</w:t>
      </w:r>
    </w:p>
    <w:p w14:paraId="3D3DE0CA" w14:textId="673A1F9E" w:rsidR="00A962C5" w:rsidRDefault="00134653" w:rsidP="00A962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</w:t>
      </w:r>
      <w:r w:rsidR="00062735">
        <w:rPr>
          <w:rFonts w:ascii="Times New Roman" w:hAnsi="Times New Roman" w:cs="Times New Roman"/>
          <w:sz w:val="24"/>
        </w:rPr>
        <w:t>September 29</w:t>
      </w:r>
      <w:r w:rsidR="00062735" w:rsidRPr="00062735">
        <w:rPr>
          <w:rFonts w:ascii="Times New Roman" w:hAnsi="Times New Roman" w:cs="Times New Roman"/>
          <w:sz w:val="24"/>
          <w:vertAlign w:val="superscript"/>
        </w:rPr>
        <w:t>th</w:t>
      </w:r>
      <w:r w:rsidR="00FE765D">
        <w:rPr>
          <w:rFonts w:ascii="Times New Roman" w:hAnsi="Times New Roman" w:cs="Times New Roman"/>
          <w:sz w:val="24"/>
        </w:rPr>
        <w:t>, 2020</w:t>
      </w:r>
      <w:r>
        <w:rPr>
          <w:rFonts w:ascii="Times New Roman" w:hAnsi="Times New Roman" w:cs="Times New Roman"/>
          <w:sz w:val="24"/>
        </w:rPr>
        <w:t xml:space="preserve">, the Judicial Council received a request from the ASUW </w:t>
      </w:r>
      <w:r w:rsidR="00004879">
        <w:rPr>
          <w:rFonts w:ascii="Times New Roman" w:hAnsi="Times New Roman" w:cs="Times New Roman"/>
          <w:sz w:val="24"/>
        </w:rPr>
        <w:t>Chief of Legislative Affairs</w:t>
      </w:r>
      <w:r>
        <w:rPr>
          <w:rFonts w:ascii="Times New Roman" w:hAnsi="Times New Roman" w:cs="Times New Roman"/>
          <w:sz w:val="24"/>
        </w:rPr>
        <w:t xml:space="preserve"> to interpret </w:t>
      </w:r>
      <w:r w:rsidR="00FB054A">
        <w:rPr>
          <w:rFonts w:ascii="Times New Roman" w:hAnsi="Times New Roman" w:cs="Times New Roman"/>
          <w:sz w:val="24"/>
        </w:rPr>
        <w:t xml:space="preserve">the </w:t>
      </w:r>
      <w:r w:rsidR="00263433" w:rsidRPr="00263433">
        <w:rPr>
          <w:rFonts w:ascii="Times New Roman" w:hAnsi="Times New Roman" w:cs="Times New Roman"/>
          <w:sz w:val="24"/>
        </w:rPr>
        <w:t>ASUW Constitution, Article VI, Section 1, subsection B</w:t>
      </w:r>
      <w:r>
        <w:rPr>
          <w:rFonts w:ascii="Times New Roman" w:hAnsi="Times New Roman" w:cs="Times New Roman"/>
          <w:sz w:val="24"/>
        </w:rPr>
        <w:t xml:space="preserve">. </w:t>
      </w:r>
      <w:r w:rsidR="003C39F8">
        <w:rPr>
          <w:rFonts w:ascii="Times New Roman" w:hAnsi="Times New Roman" w:cs="Times New Roman"/>
          <w:sz w:val="24"/>
        </w:rPr>
        <w:t xml:space="preserve">The subsection reads: </w:t>
      </w:r>
      <w:r w:rsidR="00773F3F" w:rsidRPr="00773F3F">
        <w:rPr>
          <w:rFonts w:ascii="Times New Roman" w:hAnsi="Times New Roman" w:cs="Times New Roman"/>
          <w:sz w:val="24"/>
        </w:rPr>
        <w:t>“The remaining twenty-three (23) senators shall be allocated to those colleges with more than one-thirtieth (1/30) of the total full-fee paying University students. This allocation shall be done in exact relation to the percentage of such students who are enrolled in the college;”</w:t>
      </w:r>
      <w:r w:rsidR="008F38EC" w:rsidRPr="008F38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ASUW </w:t>
      </w:r>
      <w:r w:rsidR="008F38EC">
        <w:rPr>
          <w:rFonts w:ascii="Times New Roman" w:hAnsi="Times New Roman" w:cs="Times New Roman"/>
          <w:sz w:val="24"/>
        </w:rPr>
        <w:t>Ch</w:t>
      </w:r>
      <w:r w:rsidR="006A7CCC">
        <w:rPr>
          <w:rFonts w:ascii="Times New Roman" w:hAnsi="Times New Roman" w:cs="Times New Roman"/>
          <w:sz w:val="24"/>
        </w:rPr>
        <w:t>ief of Legislative Affairs</w:t>
      </w:r>
      <w:r>
        <w:rPr>
          <w:rFonts w:ascii="Times New Roman" w:hAnsi="Times New Roman" w:cs="Times New Roman"/>
          <w:sz w:val="24"/>
        </w:rPr>
        <w:t xml:space="preserve"> posed the following questions:</w:t>
      </w:r>
    </w:p>
    <w:p w14:paraId="24E42593" w14:textId="3B1A79C9" w:rsidR="003C39F8" w:rsidRPr="003C39F8" w:rsidRDefault="003C39F8" w:rsidP="003C3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C39F8">
        <w:rPr>
          <w:rFonts w:ascii="Times New Roman" w:hAnsi="Times New Roman" w:cs="Times New Roman"/>
          <w:sz w:val="24"/>
        </w:rPr>
        <w:t>What does the phrase “in exact relation” specifically mean in this context?</w:t>
      </w:r>
    </w:p>
    <w:p w14:paraId="2052E2FB" w14:textId="01BEE253" w:rsidR="003C39F8" w:rsidRPr="003C39F8" w:rsidRDefault="003C39F8" w:rsidP="003C3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C39F8">
        <w:rPr>
          <w:rFonts w:ascii="Times New Roman" w:hAnsi="Times New Roman" w:cs="Times New Roman"/>
          <w:sz w:val="24"/>
        </w:rPr>
        <w:t>Does the Constitution require senate seats to be allocated solely on a system of proportional allocation by college, or may other methods be used?</w:t>
      </w:r>
    </w:p>
    <w:p w14:paraId="34F1F57D" w14:textId="12FD3683" w:rsidR="003C39F8" w:rsidRPr="003C39F8" w:rsidRDefault="003C39F8" w:rsidP="003C3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</w:rPr>
      </w:pPr>
      <w:r w:rsidRPr="003C39F8">
        <w:rPr>
          <w:rFonts w:ascii="Times New Roman" w:hAnsi="Times New Roman" w:cs="Times New Roman"/>
          <w:sz w:val="24"/>
        </w:rPr>
        <w:t>Does the Constitution allow for Senators to be elected at-large, as opposed to by college, assuming the requisite changes to the ASUW By-Laws were duly passed by the Senate?</w:t>
      </w:r>
      <w:r w:rsidRPr="003C39F8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606BE27" w14:textId="4E53FBE2" w:rsidR="00134653" w:rsidRPr="00A962C5" w:rsidRDefault="00134653" w:rsidP="003C39F8">
      <w:pPr>
        <w:rPr>
          <w:rFonts w:ascii="Times New Roman" w:hAnsi="Times New Roman" w:cs="Times New Roman"/>
          <w:b/>
          <w:bCs/>
          <w:sz w:val="24"/>
        </w:rPr>
      </w:pPr>
      <w:r w:rsidRPr="00A962C5">
        <w:rPr>
          <w:rFonts w:ascii="Times New Roman" w:hAnsi="Times New Roman" w:cs="Times New Roman"/>
          <w:b/>
          <w:bCs/>
          <w:sz w:val="24"/>
        </w:rPr>
        <w:t>Interpretation</w:t>
      </w:r>
      <w:r w:rsidR="003E36B7">
        <w:rPr>
          <w:rFonts w:ascii="Times New Roman" w:hAnsi="Times New Roman" w:cs="Times New Roman"/>
          <w:b/>
          <w:bCs/>
          <w:sz w:val="24"/>
        </w:rPr>
        <w:t xml:space="preserve"> and Recommendation</w:t>
      </w:r>
    </w:p>
    <w:p w14:paraId="2B35ABF6" w14:textId="4C230A59" w:rsidR="00790B4C" w:rsidRDefault="00134653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In this interpretation, the Judicial Council relied on </w:t>
      </w:r>
      <w:r w:rsidR="0064097F">
        <w:t xml:space="preserve">both </w:t>
      </w:r>
      <w:r>
        <w:t>the plain language</w:t>
      </w:r>
      <w:r w:rsidR="0064097F">
        <w:t xml:space="preserve"> and the intent</w:t>
      </w:r>
      <w:r>
        <w:t xml:space="preserve"> </w:t>
      </w:r>
      <w:r w:rsidR="00790B4C">
        <w:t>of the</w:t>
      </w:r>
      <w:r>
        <w:t xml:space="preserve"> </w:t>
      </w:r>
      <w:r w:rsidR="002F008F">
        <w:t>subsection</w:t>
      </w:r>
      <w:r>
        <w:t xml:space="preserve">. </w:t>
      </w:r>
      <w:r w:rsidR="00790B4C">
        <w:t xml:space="preserve">In </w:t>
      </w:r>
      <w:r w:rsidR="00474F0D">
        <w:t xml:space="preserve">response to the first question, </w:t>
      </w:r>
      <w:r w:rsidR="00790B4C">
        <w:t xml:space="preserve">the Council determined </w:t>
      </w:r>
      <w:r w:rsidR="00474F0D">
        <w:t xml:space="preserve">“in exact relation” </w:t>
      </w:r>
      <w:r w:rsidR="00F82323">
        <w:t>to be</w:t>
      </w:r>
      <w:r w:rsidR="00474F0D">
        <w:t xml:space="preserve"> a clear and unambiguous phrase when placed in context with </w:t>
      </w:r>
      <w:r w:rsidR="00E91E95">
        <w:t xml:space="preserve">Article VI, Section 1. </w:t>
      </w:r>
      <w:r w:rsidR="00FB5ECB">
        <w:t xml:space="preserve">As per subsection A, each college and </w:t>
      </w:r>
      <w:r w:rsidR="002532BB">
        <w:t>sole degree-granting program is guaranteed at least one Senator</w:t>
      </w:r>
      <w:r w:rsidR="0068394F">
        <w:t>. Subsection B then specifies that the remaining Senators “shall be allocate</w:t>
      </w:r>
      <w:r w:rsidR="00187C74">
        <w:t xml:space="preserve">d.” “Exact relation” means that the Senators be proportioned </w:t>
      </w:r>
      <w:r w:rsidR="00F9763E">
        <w:t xml:space="preserve">based </w:t>
      </w:r>
      <w:r w:rsidR="004C3E4E">
        <w:t xml:space="preserve">directly </w:t>
      </w:r>
      <w:r w:rsidR="00F9763E">
        <w:t xml:space="preserve">on the percentage of the student body in each college and sole degree-granting program. </w:t>
      </w:r>
    </w:p>
    <w:p w14:paraId="0C830FE8" w14:textId="1B05EC09" w:rsidR="00835BDE" w:rsidRDefault="00835BDE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4D3CC3F3" w14:textId="77D3121D" w:rsidR="00835BDE" w:rsidRDefault="00835BDE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To answer the second question, the Council focused on the meaning of the word “shall.” The Council decided that within the Constitution, the word “shall” </w:t>
      </w:r>
      <w:r w:rsidR="00484C7E">
        <w:t xml:space="preserve">means “must” and not “may.” This was determined based on the fact that both “shall” and “may” are used, and this shows that the intent was </w:t>
      </w:r>
      <w:r w:rsidR="00951190">
        <w:t xml:space="preserve">to have a distinction between the two words. Additionally, because “may” is used, “shall” cannot mean “may.” As a result of this </w:t>
      </w:r>
      <w:r w:rsidR="00470BD7">
        <w:t>interpretation, the Council rules that the only method allowed by the Constitution for Senatorial allocation is the proportional allocation outlined in the Constitution.</w:t>
      </w:r>
    </w:p>
    <w:p w14:paraId="776AEAE7" w14:textId="5BC2903C" w:rsidR="00470BD7" w:rsidRDefault="00470BD7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3544F380" w14:textId="610A8CB9" w:rsidR="00697351" w:rsidRDefault="00074CA9" w:rsidP="00134653">
      <w:pPr>
        <w:pStyle w:val="NormalWeb"/>
        <w:shd w:val="clear" w:color="auto" w:fill="FFFFFF"/>
        <w:spacing w:before="0" w:beforeAutospacing="0" w:after="0" w:afterAutospacing="0" w:line="276" w:lineRule="auto"/>
      </w:pPr>
      <w:r>
        <w:lastRenderedPageBreak/>
        <w:t>In regard to the third question, t</w:t>
      </w:r>
      <w:r w:rsidR="003B4FBB">
        <w:t>he Council decided that the Constitution does not allow for Senators to be elected at-large</w:t>
      </w:r>
      <w:r w:rsidR="00BB0DBF">
        <w:t xml:space="preserve">, no matter what changes are made to the ASUW By-Laws. This conclusion was reached because the </w:t>
      </w:r>
      <w:r w:rsidR="00C51EA2">
        <w:t>only method of allocation allowed is the proportional allocation method, which is reliant upon every Senator belonging to a college or sole degree-granting program.</w:t>
      </w:r>
      <w:r w:rsidR="00BF72FF">
        <w:t xml:space="preserve"> Additionally, the Council would like to emphasize the </w:t>
      </w:r>
      <w:r w:rsidR="006C0555">
        <w:t xml:space="preserve">supremacy of the ASUW Constitution; this means that the Constitution overrules all other ASUW governing documents, including the ASUW By-Laws. As a result, </w:t>
      </w:r>
      <w:r w:rsidR="002B281C">
        <w:t>the By-Laws or other governing documents may not supersede the Constitution</w:t>
      </w:r>
      <w:r w:rsidR="00362780">
        <w:t xml:space="preserve"> and cannot be changed to be inconsistent with the Constitution.</w:t>
      </w:r>
      <w:r w:rsidR="003E36B7">
        <w:t xml:space="preserve"> The Council recommends that the ASUW Senate ensure that all governing documents are in line with the Constitution</w:t>
      </w:r>
      <w:r w:rsidR="00697351">
        <w:t>, including updating the Constitution to recognize the current amount of Senate seats.</w:t>
      </w:r>
      <w:r w:rsidR="003615C8">
        <w:t xml:space="preserve"> </w:t>
      </w:r>
      <w:r w:rsidR="003615C8">
        <w:t xml:space="preserve">These recommendations do not </w:t>
      </w:r>
      <w:r w:rsidR="003615C8">
        <w:t>have</w:t>
      </w:r>
      <w:r w:rsidR="003615C8">
        <w:t xml:space="preserve"> to be followed, and the decision the Council reached on this interpretation is not dependent on these recommendations being followed.</w:t>
      </w:r>
    </w:p>
    <w:p w14:paraId="1E6A57A7" w14:textId="77777777" w:rsidR="00F24C39" w:rsidRDefault="00F24C39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7DED09B7" w14:textId="77777777" w:rsidR="00790B4C" w:rsidRDefault="00790B4C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1678B50E" w14:textId="2FC6A2B1" w:rsidR="002A1CD4" w:rsidRDefault="002A1CD4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7FCBD375" w14:textId="497C2750" w:rsidR="00CC2E5A" w:rsidRDefault="00CC2E5A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42C67233" w14:textId="5217DC87" w:rsidR="00CC2E5A" w:rsidRDefault="00CC2E5A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78740440" w14:textId="15D409F5" w:rsidR="00CC2E5A" w:rsidRDefault="00CC2E5A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028EB57A" w14:textId="77777777" w:rsidR="00CC2E5A" w:rsidRPr="00346F26" w:rsidRDefault="00CC2E5A" w:rsidP="00134653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4446A1FF" w14:textId="5A5177AB" w:rsidR="00983209" w:rsidRDefault="00983209" w:rsidP="00F17688"/>
    <w:sectPr w:rsidR="00983209" w:rsidSect="00FF16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4D10" w14:textId="77777777" w:rsidR="00A21C24" w:rsidRDefault="00A21C24" w:rsidP="001931BF">
      <w:pPr>
        <w:spacing w:after="0" w:line="240" w:lineRule="auto"/>
      </w:pPr>
      <w:r>
        <w:separator/>
      </w:r>
    </w:p>
  </w:endnote>
  <w:endnote w:type="continuationSeparator" w:id="0">
    <w:p w14:paraId="1E703286" w14:textId="77777777" w:rsidR="00A21C24" w:rsidRDefault="00A21C24" w:rsidP="0019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17B29" w14:textId="6F256D79" w:rsidR="00167F1B" w:rsidRPr="009838E2" w:rsidRDefault="00801E8E">
    <w:pPr>
      <w:pStyle w:val="Footer"/>
      <w:rPr>
        <w:rFonts w:ascii="Times New Roman" w:hAnsi="Times New Roman" w:cs="Times New Roman"/>
      </w:rPr>
    </w:pPr>
    <w:r w:rsidRPr="009838E2">
      <w:rPr>
        <w:rFonts w:ascii="Times New Roman" w:hAnsi="Times New Roman" w:cs="Times New Roman"/>
      </w:rPr>
      <w:t>ASUW Judicial Council Decision</w:t>
    </w:r>
    <w:r w:rsidRPr="009838E2">
      <w:rPr>
        <w:rFonts w:ascii="Times New Roman" w:hAnsi="Times New Roman" w:cs="Times New Roman"/>
      </w:rPr>
      <w:ptab w:relativeTo="margin" w:alignment="center" w:leader="none"/>
    </w:r>
    <w:r w:rsidR="00525DB6">
      <w:rPr>
        <w:rFonts w:ascii="Times New Roman" w:hAnsi="Times New Roman" w:cs="Times New Roman"/>
      </w:rPr>
      <w:t>October 12</w:t>
    </w:r>
    <w:r w:rsidR="00525DB6" w:rsidRPr="00525DB6">
      <w:rPr>
        <w:rFonts w:ascii="Times New Roman" w:hAnsi="Times New Roman" w:cs="Times New Roman"/>
        <w:vertAlign w:val="superscript"/>
      </w:rPr>
      <w:t>th</w:t>
    </w:r>
    <w:r w:rsidR="00525DB6">
      <w:rPr>
        <w:rFonts w:ascii="Times New Roman" w:hAnsi="Times New Roman" w:cs="Times New Roman"/>
      </w:rPr>
      <w:t>, 2020</w:t>
    </w:r>
    <w:r w:rsidRPr="009838E2">
      <w:rPr>
        <w:rFonts w:ascii="Times New Roman" w:hAnsi="Times New Roman" w:cs="Times New Roman"/>
      </w:rPr>
      <w:ptab w:relativeTo="margin" w:alignment="right" w:leader="none"/>
    </w:r>
    <w:r w:rsidR="00FF1681">
      <w:rPr>
        <w:rFonts w:ascii="Times New Roman" w:hAnsi="Times New Roman" w:cs="Times New Roman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9B0F" w14:textId="48553618" w:rsidR="00167F1B" w:rsidRPr="009B26A2" w:rsidRDefault="009B26A2">
    <w:pPr>
      <w:pStyle w:val="Footer"/>
      <w:rPr>
        <w:rFonts w:ascii="Times New Roman" w:hAnsi="Times New Roman" w:cs="Times New Roman"/>
      </w:rPr>
    </w:pPr>
    <w:r w:rsidRPr="009B26A2">
      <w:rPr>
        <w:rFonts w:ascii="Times New Roman" w:hAnsi="Times New Roman" w:cs="Times New Roman"/>
      </w:rPr>
      <w:t>ASUW Judicial Council Decision</w:t>
    </w:r>
    <w:r w:rsidRPr="009B26A2">
      <w:rPr>
        <w:rFonts w:ascii="Times New Roman" w:hAnsi="Times New Roman" w:cs="Times New Roman"/>
      </w:rPr>
      <w:ptab w:relativeTo="margin" w:alignment="center" w:leader="none"/>
    </w:r>
    <w:r w:rsidR="00277DE1">
      <w:rPr>
        <w:rFonts w:ascii="Times New Roman" w:hAnsi="Times New Roman" w:cs="Times New Roman"/>
      </w:rPr>
      <w:t>October 12</w:t>
    </w:r>
    <w:r w:rsidR="00277DE1" w:rsidRPr="00277DE1">
      <w:rPr>
        <w:rFonts w:ascii="Times New Roman" w:hAnsi="Times New Roman" w:cs="Times New Roman"/>
        <w:vertAlign w:val="superscript"/>
      </w:rPr>
      <w:t>th</w:t>
    </w:r>
    <w:r w:rsidR="0013718F">
      <w:rPr>
        <w:rFonts w:ascii="Times New Roman" w:hAnsi="Times New Roman" w:cs="Times New Roman"/>
      </w:rPr>
      <w:t>, 2020</w:t>
    </w:r>
    <w:r w:rsidRPr="009B26A2">
      <w:rPr>
        <w:rFonts w:ascii="Times New Roman" w:hAnsi="Times New Roman" w:cs="Times New Roman"/>
      </w:rPr>
      <w:ptab w:relativeTo="margin" w:alignment="right" w:leader="none"/>
    </w:r>
    <w:r w:rsidRPr="009B26A2">
      <w:rPr>
        <w:rFonts w:ascii="Times New Roman" w:hAnsi="Times New Roman" w:cs="Times New Roman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8E870" w14:textId="77777777" w:rsidR="00A21C24" w:rsidRDefault="00A21C24" w:rsidP="001931BF">
      <w:pPr>
        <w:spacing w:after="0" w:line="240" w:lineRule="auto"/>
      </w:pPr>
      <w:r>
        <w:separator/>
      </w:r>
    </w:p>
  </w:footnote>
  <w:footnote w:type="continuationSeparator" w:id="0">
    <w:p w14:paraId="6165E00B" w14:textId="77777777" w:rsidR="00A21C24" w:rsidRDefault="00A21C24" w:rsidP="0019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1949"/>
      <w:gridCol w:w="3656"/>
      <w:gridCol w:w="378"/>
    </w:tblGrid>
    <w:tr w:rsidR="001931BF" w14:paraId="4A58F46E" w14:textId="77777777" w:rsidTr="00782AB1">
      <w:trPr>
        <w:trHeight w:val="440"/>
      </w:trPr>
      <w:tc>
        <w:tcPr>
          <w:tcW w:w="3215" w:type="dxa"/>
          <w:hideMark/>
        </w:tcPr>
        <w:p w14:paraId="6DD8AF97" w14:textId="77777777" w:rsidR="001931BF" w:rsidRDefault="001931BF" w:rsidP="001931BF">
          <w:pPr>
            <w:pStyle w:val="Header"/>
            <w:rPr>
              <w:rFonts w:ascii="Garamond" w:hAnsi="Garamond"/>
              <w:sz w:val="28"/>
            </w:rPr>
          </w:pPr>
        </w:p>
        <w:p w14:paraId="2CD5229A" w14:textId="77777777" w:rsidR="001931BF" w:rsidRDefault="001931BF" w:rsidP="001931BF">
          <w:pPr>
            <w:pStyle w:val="Header"/>
            <w:rPr>
              <w:rFonts w:ascii="Garamond" w:hAnsi="Garamond"/>
              <w:sz w:val="27"/>
              <w:szCs w:val="27"/>
            </w:rPr>
          </w:pPr>
        </w:p>
      </w:tc>
      <w:tc>
        <w:tcPr>
          <w:tcW w:w="1949" w:type="dxa"/>
          <w:vMerge w:val="restart"/>
          <w:hideMark/>
        </w:tcPr>
        <w:p w14:paraId="079D3368" w14:textId="77777777" w:rsidR="001931BF" w:rsidRDefault="001931BF" w:rsidP="001931BF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C1CC1D9" wp14:editId="4645651E">
                <wp:extent cx="914400" cy="914400"/>
                <wp:effectExtent l="0" t="0" r="0" b="0"/>
                <wp:docPr id="3" name="Picture 3" descr="A black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UW Logo-mi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hideMark/>
        </w:tcPr>
        <w:p w14:paraId="34C9DEDE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6"/>
              <w:szCs w:val="26"/>
            </w:rPr>
          </w:pPr>
          <w:r>
            <w:rPr>
              <w:rFonts w:ascii="Garamond" w:hAnsi="Garamond"/>
              <w:sz w:val="26"/>
              <w:szCs w:val="26"/>
            </w:rPr>
            <w:t xml:space="preserve"> </w:t>
          </w:r>
        </w:p>
        <w:p w14:paraId="3F77CC6E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5"/>
              <w:szCs w:val="25"/>
            </w:rPr>
          </w:pPr>
        </w:p>
      </w:tc>
      <w:tc>
        <w:tcPr>
          <w:tcW w:w="378" w:type="dxa"/>
        </w:tcPr>
        <w:p w14:paraId="71EA735F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  <w:tr w:rsidR="001931BF" w14:paraId="1FD010AF" w14:textId="77777777" w:rsidTr="00782AB1">
      <w:trPr>
        <w:trHeight w:val="350"/>
      </w:trPr>
      <w:tc>
        <w:tcPr>
          <w:tcW w:w="3215" w:type="dxa"/>
          <w:hideMark/>
        </w:tcPr>
        <w:p w14:paraId="51A5EF9C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24"/>
            </w:rPr>
          </w:pPr>
          <w:r w:rsidRPr="002A2C94">
            <w:rPr>
              <w:rFonts w:ascii="Times New Roman" w:hAnsi="Times New Roman" w:cs="Times New Roman"/>
              <w:sz w:val="24"/>
            </w:rPr>
            <w:t>ASUW Judicial Council</w:t>
          </w:r>
        </w:p>
        <w:p w14:paraId="65E610BB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020 Wyoming Union</w:t>
          </w:r>
        </w:p>
        <w:p w14:paraId="461CC6B3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307-766-5204</w:t>
          </w:r>
        </w:p>
        <w:p w14:paraId="58FFA907" w14:textId="77777777" w:rsidR="001931BF" w:rsidRDefault="001931BF" w:rsidP="001931BF">
          <w:pPr>
            <w:pStyle w:val="Header"/>
            <w:rPr>
              <w:rFonts w:ascii="Garamond" w:hAnsi="Garamond"/>
            </w:rPr>
          </w:pPr>
          <w:r w:rsidRPr="002A2C94">
            <w:rPr>
              <w:rFonts w:ascii="Times New Roman" w:hAnsi="Times New Roman" w:cs="Times New Roman"/>
              <w:sz w:val="18"/>
            </w:rPr>
            <w:t>asuwjc@uwyo.edu</w:t>
          </w:r>
        </w:p>
      </w:tc>
      <w:tc>
        <w:tcPr>
          <w:tcW w:w="0" w:type="auto"/>
          <w:vMerge/>
          <w:vAlign w:val="center"/>
          <w:hideMark/>
        </w:tcPr>
        <w:p w14:paraId="63044FE0" w14:textId="77777777" w:rsidR="001931BF" w:rsidRDefault="001931BF" w:rsidP="001931BF">
          <w:pPr>
            <w:rPr>
              <w:rFonts w:ascii="Garamond" w:hAnsi="Garamond"/>
            </w:rPr>
          </w:pPr>
        </w:p>
      </w:tc>
      <w:tc>
        <w:tcPr>
          <w:tcW w:w="3656" w:type="dxa"/>
          <w:hideMark/>
        </w:tcPr>
        <w:p w14:paraId="37793884" w14:textId="77777777" w:rsidR="001931BF" w:rsidRPr="002A2C94" w:rsidRDefault="001931BF" w:rsidP="001931BF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2A2C94">
            <w:rPr>
              <w:rFonts w:ascii="Times New Roman" w:hAnsi="Times New Roman" w:cs="Times New Roman"/>
              <w:sz w:val="24"/>
              <w:szCs w:val="24"/>
            </w:rPr>
            <w:t xml:space="preserve">  Nicole D. Sanders- Chief Justice</w:t>
          </w:r>
        </w:p>
      </w:tc>
      <w:tc>
        <w:tcPr>
          <w:tcW w:w="378" w:type="dxa"/>
        </w:tcPr>
        <w:p w14:paraId="4079E842" w14:textId="77777777" w:rsidR="001931BF" w:rsidRDefault="001931BF" w:rsidP="001931BF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</w:tbl>
  <w:p w14:paraId="6CF4A536" w14:textId="77777777" w:rsidR="001931BF" w:rsidRDefault="001931BF" w:rsidP="009D7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1949"/>
      <w:gridCol w:w="3656"/>
      <w:gridCol w:w="378"/>
    </w:tblGrid>
    <w:tr w:rsidR="002A2C94" w14:paraId="096AC97F" w14:textId="77777777" w:rsidTr="00782AB1">
      <w:trPr>
        <w:trHeight w:val="440"/>
      </w:trPr>
      <w:tc>
        <w:tcPr>
          <w:tcW w:w="3215" w:type="dxa"/>
          <w:hideMark/>
        </w:tcPr>
        <w:p w14:paraId="333B1AE6" w14:textId="77777777" w:rsidR="002A2C94" w:rsidRDefault="002A2C94" w:rsidP="002A2C94">
          <w:pPr>
            <w:pStyle w:val="Header"/>
            <w:rPr>
              <w:rFonts w:ascii="Garamond" w:hAnsi="Garamond"/>
              <w:sz w:val="28"/>
            </w:rPr>
          </w:pPr>
        </w:p>
        <w:p w14:paraId="7D83B082" w14:textId="77777777" w:rsidR="002A2C94" w:rsidRDefault="002A2C94" w:rsidP="002A2C94">
          <w:pPr>
            <w:pStyle w:val="Header"/>
            <w:rPr>
              <w:rFonts w:ascii="Garamond" w:hAnsi="Garamond"/>
              <w:sz w:val="27"/>
              <w:szCs w:val="27"/>
            </w:rPr>
          </w:pPr>
        </w:p>
      </w:tc>
      <w:tc>
        <w:tcPr>
          <w:tcW w:w="1949" w:type="dxa"/>
          <w:vMerge w:val="restart"/>
          <w:hideMark/>
        </w:tcPr>
        <w:p w14:paraId="40176BF4" w14:textId="77777777" w:rsidR="002A2C94" w:rsidRDefault="002A2C94" w:rsidP="002A2C94">
          <w:pPr>
            <w:pStyle w:val="Header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E0DA6E8" wp14:editId="3CC8D68B">
                <wp:extent cx="914400" cy="914400"/>
                <wp:effectExtent l="0" t="0" r="0" b="0"/>
                <wp:docPr id="1" name="Picture 1" descr="A black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UW Logo-mi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hideMark/>
        </w:tcPr>
        <w:p w14:paraId="5D954BE0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6"/>
              <w:szCs w:val="26"/>
            </w:rPr>
          </w:pPr>
          <w:r>
            <w:rPr>
              <w:rFonts w:ascii="Garamond" w:hAnsi="Garamond"/>
              <w:sz w:val="26"/>
              <w:szCs w:val="26"/>
            </w:rPr>
            <w:t xml:space="preserve"> </w:t>
          </w:r>
        </w:p>
        <w:p w14:paraId="438CC138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5"/>
              <w:szCs w:val="25"/>
            </w:rPr>
          </w:pPr>
        </w:p>
      </w:tc>
      <w:tc>
        <w:tcPr>
          <w:tcW w:w="378" w:type="dxa"/>
        </w:tcPr>
        <w:p w14:paraId="09DD49F4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  <w:tr w:rsidR="002A2C94" w14:paraId="6969772B" w14:textId="77777777" w:rsidTr="00782AB1">
      <w:trPr>
        <w:trHeight w:val="350"/>
      </w:trPr>
      <w:tc>
        <w:tcPr>
          <w:tcW w:w="3215" w:type="dxa"/>
          <w:hideMark/>
        </w:tcPr>
        <w:p w14:paraId="60C0B4EC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24"/>
            </w:rPr>
          </w:pPr>
          <w:r w:rsidRPr="002A2C94">
            <w:rPr>
              <w:rFonts w:ascii="Times New Roman" w:hAnsi="Times New Roman" w:cs="Times New Roman"/>
              <w:sz w:val="24"/>
            </w:rPr>
            <w:t>ASUW Judicial Council</w:t>
          </w:r>
        </w:p>
        <w:p w14:paraId="5BE9ACE1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020 Wyoming Union</w:t>
          </w:r>
        </w:p>
        <w:p w14:paraId="2E9A2A34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18"/>
            </w:rPr>
          </w:pPr>
          <w:r w:rsidRPr="002A2C94">
            <w:rPr>
              <w:rFonts w:ascii="Times New Roman" w:hAnsi="Times New Roman" w:cs="Times New Roman"/>
              <w:sz w:val="18"/>
            </w:rPr>
            <w:t>307-766-5204</w:t>
          </w:r>
        </w:p>
        <w:p w14:paraId="6B51C708" w14:textId="77777777" w:rsidR="002A2C94" w:rsidRDefault="002A2C94" w:rsidP="002A2C94">
          <w:pPr>
            <w:pStyle w:val="Header"/>
            <w:rPr>
              <w:rFonts w:ascii="Garamond" w:hAnsi="Garamond"/>
            </w:rPr>
          </w:pPr>
          <w:r w:rsidRPr="002A2C94">
            <w:rPr>
              <w:rFonts w:ascii="Times New Roman" w:hAnsi="Times New Roman" w:cs="Times New Roman"/>
              <w:sz w:val="18"/>
            </w:rPr>
            <w:t>asuwjc@uwyo.edu</w:t>
          </w:r>
        </w:p>
      </w:tc>
      <w:tc>
        <w:tcPr>
          <w:tcW w:w="0" w:type="auto"/>
          <w:vMerge/>
          <w:vAlign w:val="center"/>
          <w:hideMark/>
        </w:tcPr>
        <w:p w14:paraId="3B4D7C50" w14:textId="77777777" w:rsidR="002A2C94" w:rsidRDefault="002A2C94" w:rsidP="002A2C94">
          <w:pPr>
            <w:rPr>
              <w:rFonts w:ascii="Garamond" w:hAnsi="Garamond"/>
            </w:rPr>
          </w:pPr>
        </w:p>
      </w:tc>
      <w:tc>
        <w:tcPr>
          <w:tcW w:w="3656" w:type="dxa"/>
          <w:hideMark/>
        </w:tcPr>
        <w:p w14:paraId="26A6CD06" w14:textId="77777777" w:rsidR="002A2C94" w:rsidRPr="002A2C94" w:rsidRDefault="002A2C94" w:rsidP="002A2C94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2A2C94">
            <w:rPr>
              <w:rFonts w:ascii="Times New Roman" w:hAnsi="Times New Roman" w:cs="Times New Roman"/>
              <w:sz w:val="24"/>
              <w:szCs w:val="24"/>
            </w:rPr>
            <w:t xml:space="preserve">  Nicole D. Sanders- Chief Justice</w:t>
          </w:r>
        </w:p>
      </w:tc>
      <w:tc>
        <w:tcPr>
          <w:tcW w:w="378" w:type="dxa"/>
        </w:tcPr>
        <w:p w14:paraId="68142F5A" w14:textId="77777777" w:rsidR="002A2C94" w:rsidRDefault="002A2C94" w:rsidP="002A2C94">
          <w:pPr>
            <w:pStyle w:val="Header"/>
            <w:jc w:val="right"/>
            <w:rPr>
              <w:rFonts w:ascii="Garamond" w:hAnsi="Garamond"/>
              <w:sz w:val="24"/>
            </w:rPr>
          </w:pPr>
        </w:p>
      </w:tc>
    </w:tr>
  </w:tbl>
  <w:p w14:paraId="66566051" w14:textId="77777777" w:rsidR="002A2C94" w:rsidRDefault="002A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60D5C"/>
    <w:multiLevelType w:val="hybridMultilevel"/>
    <w:tmpl w:val="0556F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2E1"/>
    <w:multiLevelType w:val="hybridMultilevel"/>
    <w:tmpl w:val="27CC4096"/>
    <w:lvl w:ilvl="0" w:tplc="3E384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0430"/>
    <w:multiLevelType w:val="hybridMultilevel"/>
    <w:tmpl w:val="A9326834"/>
    <w:lvl w:ilvl="0" w:tplc="A4D8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B778C"/>
    <w:multiLevelType w:val="hybridMultilevel"/>
    <w:tmpl w:val="627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53"/>
    <w:rsid w:val="00004879"/>
    <w:rsid w:val="00057C2A"/>
    <w:rsid w:val="00062735"/>
    <w:rsid w:val="00074CA9"/>
    <w:rsid w:val="00075688"/>
    <w:rsid w:val="00085320"/>
    <w:rsid w:val="00105DCF"/>
    <w:rsid w:val="00134653"/>
    <w:rsid w:val="00136A11"/>
    <w:rsid w:val="0013718F"/>
    <w:rsid w:val="00165B3D"/>
    <w:rsid w:val="00167F1B"/>
    <w:rsid w:val="00187C74"/>
    <w:rsid w:val="001931BF"/>
    <w:rsid w:val="001943B2"/>
    <w:rsid w:val="001C568F"/>
    <w:rsid w:val="001C7B1E"/>
    <w:rsid w:val="001C7F15"/>
    <w:rsid w:val="001F700A"/>
    <w:rsid w:val="00213775"/>
    <w:rsid w:val="0023641D"/>
    <w:rsid w:val="002532BB"/>
    <w:rsid w:val="00256221"/>
    <w:rsid w:val="00263433"/>
    <w:rsid w:val="00277DE1"/>
    <w:rsid w:val="00297584"/>
    <w:rsid w:val="002A1CD4"/>
    <w:rsid w:val="002A2C94"/>
    <w:rsid w:val="002B1187"/>
    <w:rsid w:val="002B281C"/>
    <w:rsid w:val="002C1A93"/>
    <w:rsid w:val="002D16D6"/>
    <w:rsid w:val="002F008F"/>
    <w:rsid w:val="00302EE7"/>
    <w:rsid w:val="00307A13"/>
    <w:rsid w:val="00334658"/>
    <w:rsid w:val="00346F26"/>
    <w:rsid w:val="003615C8"/>
    <w:rsid w:val="00362780"/>
    <w:rsid w:val="00375692"/>
    <w:rsid w:val="003866AF"/>
    <w:rsid w:val="003A1880"/>
    <w:rsid w:val="003B4FBB"/>
    <w:rsid w:val="003C39F8"/>
    <w:rsid w:val="003E36B7"/>
    <w:rsid w:val="003E517A"/>
    <w:rsid w:val="003E5233"/>
    <w:rsid w:val="003F45F7"/>
    <w:rsid w:val="00457547"/>
    <w:rsid w:val="00470BD7"/>
    <w:rsid w:val="00474F0D"/>
    <w:rsid w:val="00484C7E"/>
    <w:rsid w:val="004C3E4E"/>
    <w:rsid w:val="004F556E"/>
    <w:rsid w:val="005100C7"/>
    <w:rsid w:val="00525DB6"/>
    <w:rsid w:val="005271BE"/>
    <w:rsid w:val="005A34C4"/>
    <w:rsid w:val="005F4933"/>
    <w:rsid w:val="00611EB7"/>
    <w:rsid w:val="0064097F"/>
    <w:rsid w:val="00676AF0"/>
    <w:rsid w:val="0068394F"/>
    <w:rsid w:val="00697351"/>
    <w:rsid w:val="006A7CCC"/>
    <w:rsid w:val="006C0555"/>
    <w:rsid w:val="006E7606"/>
    <w:rsid w:val="007507EA"/>
    <w:rsid w:val="00754FC5"/>
    <w:rsid w:val="0075682F"/>
    <w:rsid w:val="00757892"/>
    <w:rsid w:val="00773F3F"/>
    <w:rsid w:val="0079021C"/>
    <w:rsid w:val="00790B4C"/>
    <w:rsid w:val="007C0527"/>
    <w:rsid w:val="007D1E57"/>
    <w:rsid w:val="007E0624"/>
    <w:rsid w:val="007F6537"/>
    <w:rsid w:val="00801517"/>
    <w:rsid w:val="00801E8E"/>
    <w:rsid w:val="00827111"/>
    <w:rsid w:val="00835BDE"/>
    <w:rsid w:val="008B3AD1"/>
    <w:rsid w:val="008F38EC"/>
    <w:rsid w:val="008F4BFC"/>
    <w:rsid w:val="00904590"/>
    <w:rsid w:val="00951190"/>
    <w:rsid w:val="0097166D"/>
    <w:rsid w:val="00983209"/>
    <w:rsid w:val="009835D2"/>
    <w:rsid w:val="009838E2"/>
    <w:rsid w:val="00993EE0"/>
    <w:rsid w:val="009B26A2"/>
    <w:rsid w:val="009B2FD1"/>
    <w:rsid w:val="009C7821"/>
    <w:rsid w:val="009D708D"/>
    <w:rsid w:val="00A21C24"/>
    <w:rsid w:val="00A23941"/>
    <w:rsid w:val="00A35BEC"/>
    <w:rsid w:val="00A908D9"/>
    <w:rsid w:val="00A962C5"/>
    <w:rsid w:val="00AE2408"/>
    <w:rsid w:val="00B716A3"/>
    <w:rsid w:val="00BB0C2C"/>
    <w:rsid w:val="00BB0DBF"/>
    <w:rsid w:val="00BB7616"/>
    <w:rsid w:val="00BF5EDF"/>
    <w:rsid w:val="00BF72FF"/>
    <w:rsid w:val="00C32562"/>
    <w:rsid w:val="00C41BE5"/>
    <w:rsid w:val="00C51EA2"/>
    <w:rsid w:val="00C73FAB"/>
    <w:rsid w:val="00C84311"/>
    <w:rsid w:val="00C95586"/>
    <w:rsid w:val="00CC2E5A"/>
    <w:rsid w:val="00CC477E"/>
    <w:rsid w:val="00CC49D0"/>
    <w:rsid w:val="00CE77E9"/>
    <w:rsid w:val="00D011E4"/>
    <w:rsid w:val="00D07B9E"/>
    <w:rsid w:val="00D45397"/>
    <w:rsid w:val="00D821D2"/>
    <w:rsid w:val="00D97C9A"/>
    <w:rsid w:val="00DD6CF2"/>
    <w:rsid w:val="00E35326"/>
    <w:rsid w:val="00E43DAA"/>
    <w:rsid w:val="00E4553B"/>
    <w:rsid w:val="00E7642F"/>
    <w:rsid w:val="00E91E95"/>
    <w:rsid w:val="00EB5192"/>
    <w:rsid w:val="00F17688"/>
    <w:rsid w:val="00F24C39"/>
    <w:rsid w:val="00F82323"/>
    <w:rsid w:val="00F9763E"/>
    <w:rsid w:val="00FB054A"/>
    <w:rsid w:val="00FB53F5"/>
    <w:rsid w:val="00FB5ECB"/>
    <w:rsid w:val="00FC1BF2"/>
    <w:rsid w:val="00FE765D"/>
    <w:rsid w:val="00FF1681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1F00D"/>
  <w15:chartTrackingRefBased/>
  <w15:docId w15:val="{0FF119F1-3F52-4DFC-B4D8-79ED960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53"/>
    <w:pPr>
      <w:spacing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B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BF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1931B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3E0CFEEDA304A84977A63C563D098" ma:contentTypeVersion="12" ma:contentTypeDescription="Create a new document." ma:contentTypeScope="" ma:versionID="846037b3336aa3fbd2aaa305d125aa10">
  <xsd:schema xmlns:xsd="http://www.w3.org/2001/XMLSchema" xmlns:xs="http://www.w3.org/2001/XMLSchema" xmlns:p="http://schemas.microsoft.com/office/2006/metadata/properties" xmlns:ns3="2474bb7f-5b86-44f0-9297-f07d4f50ce88" xmlns:ns4="8ef608b4-2431-4418-97da-be8799b604f2" targetNamespace="http://schemas.microsoft.com/office/2006/metadata/properties" ma:root="true" ma:fieldsID="1bb347f86d15c66c2014266cfa02eaf1" ns3:_="" ns4:_="">
    <xsd:import namespace="2474bb7f-5b86-44f0-9297-f07d4f50ce88"/>
    <xsd:import namespace="8ef608b4-2431-4418-97da-be8799b60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bb7f-5b86-44f0-9297-f07d4f50c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08b4-2431-4418-97da-be8799b60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3148C-82E4-4055-8864-F8F3347FC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4bb7f-5b86-44f0-9297-f07d4f50ce88"/>
    <ds:schemaRef ds:uri="8ef608b4-2431-4418-97da-be8799b60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98675-5E50-4A4D-B794-B7791F3B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B883F-5BEC-42E7-9C0B-142BC6C79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Delaney Sanders</dc:creator>
  <cp:keywords/>
  <dc:description/>
  <cp:lastModifiedBy>Nicole Delaney Sanders</cp:lastModifiedBy>
  <cp:revision>39</cp:revision>
  <dcterms:created xsi:type="dcterms:W3CDTF">2020-10-09T00:16:00Z</dcterms:created>
  <dcterms:modified xsi:type="dcterms:W3CDTF">2020-10-09T01:59:00Z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0x0101003063E0CFEEDA304A84977A63C563D098</vt:lpwstr>
  </property>
</Properties>
</file>