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F6F59" w14:textId="77777777" w:rsidR="001C003D" w:rsidRDefault="001C003D" w:rsidP="001B6616">
      <w:pPr>
        <w:jc w:val="center"/>
        <w:rPr>
          <w:b/>
          <w:bCs/>
          <w:u w:val="single"/>
        </w:rPr>
      </w:pPr>
      <w:r w:rsidRPr="009D708D">
        <w:rPr>
          <w:b/>
          <w:bCs/>
          <w:u w:val="single"/>
        </w:rPr>
        <w:t xml:space="preserve">Request for </w:t>
      </w:r>
      <w:r w:rsidRPr="000C618F">
        <w:rPr>
          <w:b/>
          <w:bCs/>
          <w:u w:val="single"/>
        </w:rPr>
        <w:t>Interpretation:</w:t>
      </w:r>
      <w:r w:rsidRPr="000C618F">
        <w:rPr>
          <w:u w:val="single"/>
        </w:rPr>
        <w:t xml:space="preserve"> </w:t>
      </w:r>
      <w:r w:rsidRPr="000C618F">
        <w:rPr>
          <w:b/>
          <w:bCs/>
          <w:u w:val="single"/>
        </w:rPr>
        <w:t>ASUW</w:t>
      </w:r>
      <w:r w:rsidRPr="00C92DE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Constitution</w:t>
      </w:r>
      <w:r w:rsidRPr="00C92DE0">
        <w:rPr>
          <w:b/>
          <w:bCs/>
          <w:u w:val="single"/>
        </w:rPr>
        <w:t xml:space="preserve">, Article </w:t>
      </w:r>
      <w:r>
        <w:rPr>
          <w:b/>
          <w:bCs/>
          <w:u w:val="single"/>
        </w:rPr>
        <w:t>IV</w:t>
      </w:r>
      <w:r w:rsidRPr="00C92DE0">
        <w:rPr>
          <w:b/>
          <w:bCs/>
          <w:u w:val="single"/>
        </w:rPr>
        <w:t>, Section 2</w:t>
      </w:r>
    </w:p>
    <w:p w14:paraId="1CABBBFE" w14:textId="77777777" w:rsidR="001B6616" w:rsidRDefault="001B6616" w:rsidP="001B6616"/>
    <w:p w14:paraId="2A3C8B94" w14:textId="5BD19EC4" w:rsidR="001C003D" w:rsidRDefault="001C003D" w:rsidP="001B6616">
      <w:r>
        <w:t>Chief Justice Sanders assigned Associate Justice Cloud to deliver the Majority Opinion of the Judicial Council on February 7</w:t>
      </w:r>
      <w:r w:rsidRPr="006F7F7C">
        <w:rPr>
          <w:vertAlign w:val="superscript"/>
        </w:rPr>
        <w:t>th</w:t>
      </w:r>
      <w:r>
        <w:t xml:space="preserve">, 2021, in which Chief Justice Sanders and Associate Justices Bellamy, Campbell, De </w:t>
      </w:r>
      <w:proofErr w:type="spellStart"/>
      <w:r>
        <w:t>Meillon</w:t>
      </w:r>
      <w:proofErr w:type="spellEnd"/>
      <w:r>
        <w:t xml:space="preserve">, and </w:t>
      </w:r>
      <w:proofErr w:type="spellStart"/>
      <w:r>
        <w:t>Gruntmeir</w:t>
      </w:r>
      <w:proofErr w:type="spellEnd"/>
      <w:r>
        <w:t xml:space="preserve"> concurred.</w:t>
      </w:r>
    </w:p>
    <w:p w14:paraId="5796743B" w14:textId="77777777" w:rsidR="001B6616" w:rsidRDefault="001B6616" w:rsidP="001B6616"/>
    <w:p w14:paraId="51698FA7" w14:textId="4A79D66B" w:rsidR="002C7D12" w:rsidRDefault="002C7D12" w:rsidP="001B6616">
      <w:pPr>
        <w:rPr>
          <w:b/>
          <w:bCs/>
        </w:rPr>
      </w:pPr>
      <w:r w:rsidRPr="00167F1B">
        <w:rPr>
          <w:b/>
          <w:bCs/>
        </w:rPr>
        <w:t>Question</w:t>
      </w:r>
      <w:r w:rsidR="00375592">
        <w:rPr>
          <w:b/>
          <w:bCs/>
        </w:rPr>
        <w:t>s Presented</w:t>
      </w:r>
    </w:p>
    <w:p w14:paraId="0F31AE09" w14:textId="77777777" w:rsidR="001B6616" w:rsidRPr="001B6616" w:rsidRDefault="001B6616" w:rsidP="001B6616"/>
    <w:p w14:paraId="28282870" w14:textId="25133552" w:rsidR="00A06A0B" w:rsidRDefault="001356D2" w:rsidP="001B6616">
      <w:pPr>
        <w:pStyle w:val="NormalWeb"/>
        <w:spacing w:before="0" w:beforeAutospacing="0" w:after="0" w:afterAutospacing="0"/>
      </w:pPr>
      <w:r>
        <w:t>On February</w:t>
      </w:r>
      <w:r w:rsidR="00A91043">
        <w:t xml:space="preserve"> 2</w:t>
      </w:r>
      <w:r w:rsidR="00A91043" w:rsidRPr="00A91043">
        <w:rPr>
          <w:vertAlign w:val="superscript"/>
        </w:rPr>
        <w:t>nd</w:t>
      </w:r>
      <w:r>
        <w:t>, 2021, the Judicial Council received a request from Chief of Legislative Affairs Hunter Swilling to interpret Article IV, Section 2 of the ASUW Constitution</w:t>
      </w:r>
      <w:r w:rsidR="002D4656">
        <w:t xml:space="preserve">. </w:t>
      </w:r>
      <w:r w:rsidR="00EE5AE1">
        <w:t xml:space="preserve">The Request for Interpretation </w:t>
      </w:r>
      <w:r w:rsidR="00316BB3">
        <w:t>posed</w:t>
      </w:r>
      <w:r w:rsidR="00A06A0B">
        <w:t xml:space="preserve"> the following questions:</w:t>
      </w:r>
    </w:p>
    <w:p w14:paraId="2D721BAC" w14:textId="77777777" w:rsidR="00855D9A" w:rsidRDefault="00855D9A" w:rsidP="001B6616">
      <w:pPr>
        <w:pStyle w:val="NormalWeb"/>
        <w:spacing w:before="0" w:beforeAutospacing="0" w:after="0" w:afterAutospacing="0"/>
      </w:pPr>
    </w:p>
    <w:p w14:paraId="1BC209B6" w14:textId="77777777" w:rsidR="00A06A0B" w:rsidRDefault="00A06A0B" w:rsidP="001B6616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Does</w:t>
      </w:r>
      <w:r w:rsidR="00EE5AE1">
        <w:t xml:space="preserve"> </w:t>
      </w:r>
      <w:r>
        <w:t xml:space="preserve">Article IV, Section 2 </w:t>
      </w:r>
      <w:r w:rsidR="00EE5AE1">
        <w:t>of the Constitution bar a member of the Executive branch from serving as chair of a standing committee</w:t>
      </w:r>
      <w:r>
        <w:t>?</w:t>
      </w:r>
    </w:p>
    <w:p w14:paraId="53AA6C6C" w14:textId="1D0F91C2" w:rsidR="002C7D12" w:rsidRDefault="00A06A0B" w:rsidP="001B6616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 xml:space="preserve">Can </w:t>
      </w:r>
      <w:r w:rsidR="00FC7104">
        <w:t xml:space="preserve">the Senate vote to suspend </w:t>
      </w:r>
      <w:r>
        <w:t>Article 2, Section</w:t>
      </w:r>
      <w:r w:rsidR="00B21375">
        <w:t xml:space="preserve"> 2.02, Subsection</w:t>
      </w:r>
      <w:r>
        <w:t xml:space="preserve"> 11, </w:t>
      </w:r>
      <w:r w:rsidR="00B21375">
        <w:t>S</w:t>
      </w:r>
      <w:r>
        <w:t>ub</w:t>
      </w:r>
      <w:r w:rsidR="00B21375">
        <w:t>sub</w:t>
      </w:r>
      <w:r>
        <w:t>section E</w:t>
      </w:r>
      <w:r w:rsidR="00B21375">
        <w:t>, Clause c</w:t>
      </w:r>
      <w:r w:rsidR="002D4656">
        <w:t xml:space="preserve"> of the ASUW By-Laws</w:t>
      </w:r>
      <w:r>
        <w:t xml:space="preserve"> to allow a member of the </w:t>
      </w:r>
      <w:r w:rsidR="00FC7104">
        <w:t>Executive</w:t>
      </w:r>
      <w:r>
        <w:t xml:space="preserve"> </w:t>
      </w:r>
      <w:r w:rsidR="00531FC9">
        <w:t>b</w:t>
      </w:r>
      <w:r>
        <w:t xml:space="preserve">ranch to serve as chair of </w:t>
      </w:r>
      <w:r w:rsidR="009F22AB">
        <w:t>the RSO Funding Board</w:t>
      </w:r>
      <w:r>
        <w:t>?</w:t>
      </w:r>
    </w:p>
    <w:p w14:paraId="19D484BA" w14:textId="77777777" w:rsidR="00E9123A" w:rsidRPr="00DB0CC9" w:rsidRDefault="00E9123A" w:rsidP="00E9123A">
      <w:pPr>
        <w:pStyle w:val="NormalWeb"/>
        <w:spacing w:before="0" w:beforeAutospacing="0" w:after="0" w:afterAutospacing="0"/>
      </w:pPr>
    </w:p>
    <w:p w14:paraId="7B64253C" w14:textId="77777777" w:rsidR="002C7D12" w:rsidRPr="00167F1B" w:rsidRDefault="002C7D12" w:rsidP="001B6616">
      <w:pPr>
        <w:rPr>
          <w:b/>
          <w:bCs/>
        </w:rPr>
      </w:pPr>
      <w:r w:rsidRPr="00167F1B">
        <w:rPr>
          <w:b/>
          <w:bCs/>
        </w:rPr>
        <w:t>Interpretation and Recommendation</w:t>
      </w:r>
    </w:p>
    <w:p w14:paraId="1FCD22EE" w14:textId="0092996A" w:rsidR="00984B3A" w:rsidRDefault="00984B3A" w:rsidP="001B6616"/>
    <w:p w14:paraId="131427C4" w14:textId="3AE2B137" w:rsidR="00E83A33" w:rsidRPr="00E83A33" w:rsidRDefault="00AB6F01" w:rsidP="001B6616">
      <w:pPr>
        <w:rPr>
          <w:i/>
          <w:iCs/>
        </w:rPr>
      </w:pPr>
      <w:r>
        <w:rPr>
          <w:i/>
          <w:iCs/>
        </w:rPr>
        <w:t>1</w:t>
      </w:r>
      <w:r w:rsidR="00E83A33" w:rsidRPr="00E83A33">
        <w:rPr>
          <w:i/>
          <w:iCs/>
        </w:rPr>
        <w:t xml:space="preserve">. </w:t>
      </w:r>
      <w:r w:rsidR="00E83A33" w:rsidRPr="00E83A33">
        <w:rPr>
          <w:i/>
          <w:iCs/>
        </w:rPr>
        <w:tab/>
        <w:t xml:space="preserve">The ASUW Constitution does not allow for a member of the Executive branch to </w:t>
      </w:r>
      <w:r w:rsidR="00E83A33" w:rsidRPr="00E83A33">
        <w:rPr>
          <w:i/>
          <w:iCs/>
        </w:rPr>
        <w:tab/>
      </w:r>
      <w:r w:rsidR="00E83A33" w:rsidRPr="00E83A33">
        <w:rPr>
          <w:i/>
          <w:iCs/>
        </w:rPr>
        <w:tab/>
      </w:r>
      <w:r w:rsidR="00E83A33" w:rsidRPr="00E83A33">
        <w:rPr>
          <w:i/>
          <w:iCs/>
        </w:rPr>
        <w:tab/>
        <w:t>serve as chair of a standing committee.</w:t>
      </w:r>
    </w:p>
    <w:p w14:paraId="2C969AF0" w14:textId="77777777" w:rsidR="00E83A33" w:rsidRDefault="00E83A33" w:rsidP="001B6616"/>
    <w:p w14:paraId="4F800994" w14:textId="5E1595A7" w:rsidR="00601014" w:rsidRDefault="0055725A" w:rsidP="001B6616">
      <w:r>
        <w:t>Article IV, Section 2 of the ASUW Constitution</w:t>
      </w:r>
      <w:r w:rsidRPr="0055725A">
        <w:t xml:space="preserve"> states: “Except as provided elsewhere in this Constitution, a member of the ASUW shall not, at one time, hold office or fulfill responsibilities in more than one (1) of the Executive, Legislative or Judicial branches...”</w:t>
      </w:r>
      <w:r w:rsidR="00014397">
        <w:t xml:space="preserve"> </w:t>
      </w:r>
      <w:r w:rsidR="00CD52F2">
        <w:t xml:space="preserve">Article 2, Section 2.02, Subsection 11, Subsubsection E, Clause c of the ASUW By-Laws states that a “Senator with board experience shall serve as chairperson” of the RSO Funding Board committee. </w:t>
      </w:r>
      <w:r w:rsidR="00601014">
        <w:t xml:space="preserve">This clause of the By-Laws specifically designates the chair role to a Senator, a member of the Legislative branch. </w:t>
      </w:r>
      <w:r w:rsidR="00AD72B2">
        <w:t xml:space="preserve">Because of this designation, allowing an Executive Assistant to chair a standing committee would </w:t>
      </w:r>
      <w:r w:rsidR="00DE360F">
        <w:t xml:space="preserve">mean that a member of the Executive branch is also fulfilling responsibilities of the Legislative branch. </w:t>
      </w:r>
      <w:r w:rsidR="00032081">
        <w:t>Therefore, an Executive Assistant may not serve as chair of a standing committee.</w:t>
      </w:r>
    </w:p>
    <w:p w14:paraId="034442AA" w14:textId="6CBE1B78" w:rsidR="00E83A33" w:rsidRDefault="00E83A33" w:rsidP="001B6616"/>
    <w:p w14:paraId="0F2617D5" w14:textId="57B3EB71" w:rsidR="0074285C" w:rsidRDefault="00046E2B" w:rsidP="001B6616">
      <w:r>
        <w:t xml:space="preserve">Further, </w:t>
      </w:r>
      <w:r w:rsidR="00047B0C">
        <w:t>t</w:t>
      </w:r>
      <w:r w:rsidR="009C0F57">
        <w:t xml:space="preserve">his same section of the By-Laws </w:t>
      </w:r>
      <w:r w:rsidR="00E83A33">
        <w:t xml:space="preserve">provides for one Executive Assistant to serve as an ex-officio member on </w:t>
      </w:r>
      <w:r w:rsidR="00B132A7">
        <w:t xml:space="preserve">the </w:t>
      </w:r>
      <w:r w:rsidR="00E83A33">
        <w:t>RSO Funding Board. Under Article IV, Section 4 of the ASUW Constitution, an ex-officio member of a committee shall enjoy the rights of senate membership except the right to vote</w:t>
      </w:r>
      <w:r w:rsidR="00734FD2">
        <w:t xml:space="preserve">, with the exception of the First-Year Senate ex-officio. </w:t>
      </w:r>
      <w:r w:rsidR="00E83A33">
        <w:t xml:space="preserve">Therefore, </w:t>
      </w:r>
      <w:proofErr w:type="gramStart"/>
      <w:r w:rsidR="00E83A33">
        <w:t>an ex-officio</w:t>
      </w:r>
      <w:proofErr w:type="gramEnd"/>
      <w:r w:rsidR="00E83A33">
        <w:t xml:space="preserve"> under the ASUW Constitution is not a senatorial role.</w:t>
      </w:r>
      <w:r w:rsidR="00D64A22">
        <w:t xml:space="preserve"> Because the ASUW By-Laws specifically require that a Senator chair the committee, and the ASUW Constitution states that </w:t>
      </w:r>
      <w:proofErr w:type="gramStart"/>
      <w:r w:rsidR="00D64A22">
        <w:t>an ex-officio</w:t>
      </w:r>
      <w:proofErr w:type="gramEnd"/>
      <w:r w:rsidR="00D64A22">
        <w:t xml:space="preserve"> is not a senatorial role</w:t>
      </w:r>
      <w:r>
        <w:t xml:space="preserve">, </w:t>
      </w:r>
      <w:r w:rsidR="009369EF">
        <w:t xml:space="preserve">it would be </w:t>
      </w:r>
      <w:r w:rsidR="003137E0">
        <w:t>unconstitutional</w:t>
      </w:r>
      <w:r w:rsidR="009369EF">
        <w:t xml:space="preserve"> to allow an ex-officio member of a committee to be </w:t>
      </w:r>
      <w:r w:rsidR="006560B4">
        <w:t>chair.</w:t>
      </w:r>
    </w:p>
    <w:p w14:paraId="0E8A98B0" w14:textId="77777777" w:rsidR="002512BB" w:rsidRDefault="002512BB" w:rsidP="001B6616"/>
    <w:p w14:paraId="2C5D9AB2" w14:textId="10730A4F" w:rsidR="00E83A33" w:rsidRPr="00E83A33" w:rsidRDefault="00AB6F01" w:rsidP="001B6616">
      <w:pPr>
        <w:rPr>
          <w:i/>
          <w:iCs/>
        </w:rPr>
      </w:pPr>
      <w:r>
        <w:rPr>
          <w:i/>
          <w:iCs/>
        </w:rPr>
        <w:lastRenderedPageBreak/>
        <w:t>2</w:t>
      </w:r>
      <w:r w:rsidR="00E83A33" w:rsidRPr="00E83A33">
        <w:rPr>
          <w:i/>
          <w:iCs/>
        </w:rPr>
        <w:t>.</w:t>
      </w:r>
      <w:r w:rsidR="00E83A33" w:rsidRPr="00E83A33">
        <w:rPr>
          <w:i/>
          <w:iCs/>
        </w:rPr>
        <w:tab/>
        <w:t xml:space="preserve">The Senate cannot vote to suspend </w:t>
      </w:r>
      <w:r w:rsidR="00231EDE" w:rsidRPr="00231EDE">
        <w:rPr>
          <w:i/>
          <w:iCs/>
        </w:rPr>
        <w:t xml:space="preserve">Article 2, Section 2.02, Subsection 11, Subsubsection </w:t>
      </w:r>
      <w:r w:rsidR="00231EDE">
        <w:rPr>
          <w:i/>
          <w:iCs/>
        </w:rPr>
        <w:tab/>
      </w:r>
      <w:r w:rsidR="00231EDE" w:rsidRPr="00231EDE">
        <w:rPr>
          <w:i/>
          <w:iCs/>
        </w:rPr>
        <w:t>E, Clause c</w:t>
      </w:r>
      <w:r w:rsidR="009D5194">
        <w:rPr>
          <w:i/>
          <w:iCs/>
        </w:rPr>
        <w:t xml:space="preserve"> of the</w:t>
      </w:r>
      <w:r w:rsidR="00E83A33" w:rsidRPr="00E83A33">
        <w:rPr>
          <w:i/>
          <w:iCs/>
        </w:rPr>
        <w:t xml:space="preserve"> ASUW By-Laws.</w:t>
      </w:r>
    </w:p>
    <w:p w14:paraId="65837E56" w14:textId="77777777" w:rsidR="00E83A33" w:rsidRDefault="00E83A33" w:rsidP="001B6616"/>
    <w:p w14:paraId="6EAE908F" w14:textId="13C4B872" w:rsidR="000A5302" w:rsidRPr="00231EDE" w:rsidRDefault="00231EDE">
      <w:r>
        <w:t>Currently, t</w:t>
      </w:r>
      <w:r w:rsidRPr="00231EDE">
        <w:t>he</w:t>
      </w:r>
      <w:r>
        <w:t xml:space="preserve"> only </w:t>
      </w:r>
      <w:r w:rsidR="00B447A2">
        <w:t>article</w:t>
      </w:r>
      <w:r>
        <w:t xml:space="preserve"> of the ASUW</w:t>
      </w:r>
      <w:r w:rsidR="00B447A2">
        <w:t xml:space="preserve"> By-Laws t</w:t>
      </w:r>
      <w:r w:rsidR="00840E0F">
        <w:t>he Senate</w:t>
      </w:r>
      <w:r w:rsidR="00B447A2">
        <w:t xml:space="preserve"> may </w:t>
      </w:r>
      <w:r w:rsidR="00840E0F">
        <w:t>vote to</w:t>
      </w:r>
      <w:r w:rsidR="00B447A2">
        <w:t xml:space="preserve"> suspend is Article 5</w:t>
      </w:r>
      <w:r w:rsidR="00840E0F">
        <w:t xml:space="preserve">, Elections Policy. </w:t>
      </w:r>
      <w:r w:rsidR="001F6EEF">
        <w:t xml:space="preserve">Because there </w:t>
      </w:r>
      <w:r w:rsidR="00106B02">
        <w:t>is</w:t>
      </w:r>
      <w:r w:rsidR="001F6EEF">
        <w:t xml:space="preserve"> no specific guidance on suspension of other articles of the By-Laws, </w:t>
      </w:r>
      <w:r w:rsidR="00840E0F">
        <w:t xml:space="preserve">the Judicial Council referred to Robert’s Rules of Order to answer this question. </w:t>
      </w:r>
      <w:r w:rsidR="00A167AA">
        <w:t xml:space="preserve">According to </w:t>
      </w:r>
      <w:r w:rsidR="00A167AA" w:rsidRPr="00106B02">
        <w:rPr>
          <w:i/>
          <w:iCs/>
        </w:rPr>
        <w:t>Robert’s Rules of Order</w:t>
      </w:r>
      <w:r w:rsidR="009033A2" w:rsidRPr="00106B02">
        <w:rPr>
          <w:i/>
          <w:iCs/>
        </w:rPr>
        <w:t xml:space="preserve"> Newly Revised</w:t>
      </w:r>
      <w:r w:rsidR="009033A2">
        <w:t xml:space="preserve">, the Senate cannot suspend provisions that do not relate to parliamentary procedure. </w:t>
      </w:r>
      <w:r w:rsidR="009033A2" w:rsidRPr="009033A2">
        <w:t>Robert, Henry M.; et al. (2011). </w:t>
      </w:r>
      <w:r w:rsidR="009033A2" w:rsidRPr="005E1626">
        <w:rPr>
          <w:i/>
          <w:iCs/>
        </w:rPr>
        <w:t>Robert's Rules of Order Newly Revised</w:t>
      </w:r>
      <w:r w:rsidR="009033A2" w:rsidRPr="009033A2">
        <w:t> (11th ed.). Philadelphia, PA: Da Capo Press. p. 260.</w:t>
      </w:r>
      <w:r w:rsidR="00F04E0A">
        <w:t xml:space="preserve"> Therefore, the Senate is unable to </w:t>
      </w:r>
      <w:r w:rsidR="00F04E0A" w:rsidRPr="00F04E0A">
        <w:t>suspend Article 2, Section 2.02, Subsection 11, Subsubsection E, Clause c of the ASUW By-Laws</w:t>
      </w:r>
      <w:r w:rsidR="00F04E0A">
        <w:t xml:space="preserve"> to allow an Executive Assistant to serve as chair of the RSO Funding Board.</w:t>
      </w:r>
    </w:p>
    <w:sectPr w:rsidR="000A5302" w:rsidRPr="00231EDE" w:rsidSect="00765CC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C2EED" w14:textId="77777777" w:rsidR="00494E6D" w:rsidRDefault="00494E6D" w:rsidP="001C003D">
      <w:r>
        <w:separator/>
      </w:r>
    </w:p>
  </w:endnote>
  <w:endnote w:type="continuationSeparator" w:id="0">
    <w:p w14:paraId="31C854C2" w14:textId="77777777" w:rsidR="00494E6D" w:rsidRDefault="00494E6D" w:rsidP="001C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653260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93A39B" w14:textId="0E56AEC4" w:rsidR="00765CC0" w:rsidRDefault="00765CC0" w:rsidP="007A33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236F8D" w14:textId="77777777" w:rsidR="00765CC0" w:rsidRDefault="00765CC0" w:rsidP="00765C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Times New Roman" w:hAnsi="Times New Roman" w:cs="Times New Roman"/>
      </w:rPr>
      <w:id w:val="17587947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4BED97" w14:textId="141102BF" w:rsidR="00765CC0" w:rsidRPr="00765CC0" w:rsidRDefault="00765CC0" w:rsidP="007A33EC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765CC0">
          <w:rPr>
            <w:rStyle w:val="PageNumber"/>
            <w:rFonts w:ascii="Times New Roman" w:hAnsi="Times New Roman" w:cs="Times New Roman"/>
          </w:rPr>
          <w:t xml:space="preserve">Page </w:t>
        </w:r>
        <w:r w:rsidRPr="00765CC0">
          <w:rPr>
            <w:rStyle w:val="PageNumber"/>
            <w:rFonts w:ascii="Times New Roman" w:hAnsi="Times New Roman" w:cs="Times New Roman"/>
          </w:rPr>
          <w:fldChar w:fldCharType="begin"/>
        </w:r>
        <w:r w:rsidRPr="00765CC0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765CC0">
          <w:rPr>
            <w:rStyle w:val="PageNumber"/>
            <w:rFonts w:ascii="Times New Roman" w:hAnsi="Times New Roman" w:cs="Times New Roman"/>
          </w:rPr>
          <w:fldChar w:fldCharType="separate"/>
        </w:r>
        <w:r w:rsidRPr="00765CC0">
          <w:rPr>
            <w:rStyle w:val="PageNumber"/>
            <w:rFonts w:ascii="Times New Roman" w:hAnsi="Times New Roman" w:cs="Times New Roman"/>
            <w:noProof/>
          </w:rPr>
          <w:t>2</w:t>
        </w:r>
        <w:r w:rsidRPr="00765CC0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72149A7D" w14:textId="21D37B6F" w:rsidR="00765CC0" w:rsidRPr="009838E2" w:rsidRDefault="00765CC0" w:rsidP="00765CC0">
    <w:pPr>
      <w:pStyle w:val="Footer"/>
      <w:ind w:right="360"/>
      <w:rPr>
        <w:rFonts w:ascii="Times New Roman" w:hAnsi="Times New Roman" w:cs="Times New Roman"/>
      </w:rPr>
    </w:pPr>
    <w:r w:rsidRPr="009838E2">
      <w:rPr>
        <w:rFonts w:ascii="Times New Roman" w:hAnsi="Times New Roman" w:cs="Times New Roman"/>
      </w:rPr>
      <w:t>ASUW Judicial Council Decision</w:t>
    </w:r>
    <w:r w:rsidRPr="009838E2">
      <w:rPr>
        <w:rFonts w:ascii="Times New Roman" w:hAnsi="Times New Roman" w:cs="Times New Roman"/>
      </w:rPr>
      <w:ptab w:relativeTo="margin" w:alignment="center" w:leader="none"/>
    </w:r>
    <w:r w:rsidR="006C502C">
      <w:rPr>
        <w:rFonts w:ascii="Times New Roman" w:hAnsi="Times New Roman" w:cs="Times New Roman"/>
      </w:rPr>
      <w:t>February 7</w:t>
    </w:r>
    <w:r w:rsidRPr="009838E2">
      <w:rPr>
        <w:rFonts w:ascii="Times New Roman" w:hAnsi="Times New Roman" w:cs="Times New Roman"/>
        <w:vertAlign w:val="superscript"/>
      </w:rPr>
      <w:t>th</w:t>
    </w:r>
    <w:r w:rsidRPr="009838E2">
      <w:rPr>
        <w:rFonts w:ascii="Times New Roman" w:hAnsi="Times New Roman" w:cs="Times New Roman"/>
      </w:rPr>
      <w:t>, 20</w:t>
    </w:r>
    <w:r>
      <w:rPr>
        <w:rFonts w:ascii="Times New Roman" w:hAnsi="Times New Roman" w:cs="Times New Roman"/>
      </w:rPr>
      <w:t>2</w:t>
    </w:r>
    <w:r w:rsidR="006C502C">
      <w:rPr>
        <w:rFonts w:ascii="Times New Roman" w:hAnsi="Times New Roman" w:cs="Times New Roman"/>
      </w:rPr>
      <w:t>1</w:t>
    </w:r>
    <w:r w:rsidRPr="009838E2">
      <w:rPr>
        <w:rFonts w:ascii="Times New Roman" w:hAnsi="Times New Roman" w:cs="Times New Roman"/>
      </w:rPr>
      <w:ptab w:relativeTo="margin" w:alignment="right" w:leader="none"/>
    </w:r>
  </w:p>
  <w:p w14:paraId="626C5C0F" w14:textId="77777777" w:rsidR="00765CC0" w:rsidRDefault="00765C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AA519" w14:textId="332DD6C1" w:rsidR="002C7D12" w:rsidRPr="009B26A2" w:rsidRDefault="002C7D12" w:rsidP="002C7D12">
    <w:pPr>
      <w:pStyle w:val="Footer"/>
      <w:rPr>
        <w:rFonts w:ascii="Times New Roman" w:hAnsi="Times New Roman" w:cs="Times New Roman"/>
      </w:rPr>
    </w:pPr>
    <w:r w:rsidRPr="009B26A2">
      <w:rPr>
        <w:rFonts w:ascii="Times New Roman" w:hAnsi="Times New Roman" w:cs="Times New Roman"/>
      </w:rPr>
      <w:t>ASUW Judicial Council Decision</w:t>
    </w:r>
    <w:r w:rsidRPr="009B26A2"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t>February</w:t>
    </w:r>
    <w:r w:rsidRPr="009B26A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7</w:t>
    </w:r>
    <w:r w:rsidRPr="009B26A2">
      <w:rPr>
        <w:rFonts w:ascii="Times New Roman" w:hAnsi="Times New Roman" w:cs="Times New Roman"/>
        <w:vertAlign w:val="superscript"/>
      </w:rPr>
      <w:t>th</w:t>
    </w:r>
    <w:r w:rsidRPr="009B26A2">
      <w:rPr>
        <w:rFonts w:ascii="Times New Roman" w:hAnsi="Times New Roman" w:cs="Times New Roman"/>
      </w:rPr>
      <w:t>, 20</w:t>
    </w:r>
    <w:r>
      <w:rPr>
        <w:rFonts w:ascii="Times New Roman" w:hAnsi="Times New Roman" w:cs="Times New Roman"/>
      </w:rPr>
      <w:t>21</w:t>
    </w:r>
    <w:r w:rsidRPr="009B26A2">
      <w:rPr>
        <w:rFonts w:ascii="Times New Roman" w:hAnsi="Times New Roman" w:cs="Times New Roman"/>
      </w:rPr>
      <w:ptab w:relativeTo="margin" w:alignment="right" w:leader="none"/>
    </w:r>
    <w:r w:rsidRPr="009B26A2">
      <w:rPr>
        <w:rFonts w:ascii="Times New Roman" w:hAnsi="Times New Roman" w:cs="Times New Roman"/>
      </w:rPr>
      <w:t>Page 1</w:t>
    </w:r>
  </w:p>
  <w:p w14:paraId="08A25103" w14:textId="77777777" w:rsidR="002C7D12" w:rsidRDefault="002C7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94D05" w14:textId="77777777" w:rsidR="00494E6D" w:rsidRDefault="00494E6D" w:rsidP="001C003D">
      <w:r>
        <w:separator/>
      </w:r>
    </w:p>
  </w:footnote>
  <w:footnote w:type="continuationSeparator" w:id="0">
    <w:p w14:paraId="7D65D1DE" w14:textId="77777777" w:rsidR="00494E6D" w:rsidRDefault="00494E6D" w:rsidP="001C0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5"/>
      <w:gridCol w:w="1949"/>
      <w:gridCol w:w="3656"/>
      <w:gridCol w:w="378"/>
    </w:tblGrid>
    <w:tr w:rsidR="00765CC0" w:rsidRPr="00765CC0" w14:paraId="084AF924" w14:textId="77777777" w:rsidTr="004C0365">
      <w:trPr>
        <w:trHeight w:val="440"/>
      </w:trPr>
      <w:tc>
        <w:tcPr>
          <w:tcW w:w="3215" w:type="dxa"/>
          <w:hideMark/>
        </w:tcPr>
        <w:p w14:paraId="310CCF4B" w14:textId="77777777" w:rsidR="00765CC0" w:rsidRPr="00765CC0" w:rsidRDefault="00765CC0" w:rsidP="00765CC0">
          <w:pPr>
            <w:tabs>
              <w:tab w:val="center" w:pos="4680"/>
              <w:tab w:val="right" w:pos="9360"/>
            </w:tabs>
            <w:rPr>
              <w:rFonts w:eastAsia="Calibri"/>
              <w:sz w:val="28"/>
            </w:rPr>
          </w:pPr>
        </w:p>
        <w:p w14:paraId="53793747" w14:textId="77777777" w:rsidR="00765CC0" w:rsidRPr="00765CC0" w:rsidRDefault="00765CC0" w:rsidP="00765CC0">
          <w:pPr>
            <w:tabs>
              <w:tab w:val="center" w:pos="4680"/>
              <w:tab w:val="right" w:pos="9360"/>
            </w:tabs>
            <w:rPr>
              <w:rFonts w:eastAsia="Calibri"/>
              <w:sz w:val="27"/>
              <w:szCs w:val="27"/>
            </w:rPr>
          </w:pPr>
        </w:p>
      </w:tc>
      <w:tc>
        <w:tcPr>
          <w:tcW w:w="1949" w:type="dxa"/>
          <w:vMerge w:val="restart"/>
          <w:hideMark/>
        </w:tcPr>
        <w:p w14:paraId="6C4A801F" w14:textId="77777777" w:rsidR="00765CC0" w:rsidRPr="00765CC0" w:rsidRDefault="00765CC0" w:rsidP="00765CC0">
          <w:pPr>
            <w:tabs>
              <w:tab w:val="center" w:pos="4680"/>
              <w:tab w:val="right" w:pos="9360"/>
            </w:tabs>
            <w:jc w:val="center"/>
            <w:rPr>
              <w:rFonts w:eastAsia="Calibri"/>
            </w:rPr>
          </w:pPr>
          <w:r w:rsidRPr="00765CC0">
            <w:rPr>
              <w:rFonts w:eastAsia="Calibri"/>
              <w:noProof/>
            </w:rPr>
            <w:drawing>
              <wp:inline distT="0" distB="0" distL="0" distR="0" wp14:anchorId="74394B92" wp14:editId="551512E7">
                <wp:extent cx="914400" cy="914400"/>
                <wp:effectExtent l="0" t="0" r="0" b="0"/>
                <wp:docPr id="3" name="Picture 3" descr="A black sign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SUW Logo-mix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6" w:type="dxa"/>
          <w:hideMark/>
        </w:tcPr>
        <w:p w14:paraId="01222398" w14:textId="77777777" w:rsidR="00765CC0" w:rsidRPr="00765CC0" w:rsidRDefault="00765CC0" w:rsidP="00765CC0">
          <w:pPr>
            <w:tabs>
              <w:tab w:val="center" w:pos="4680"/>
              <w:tab w:val="right" w:pos="9360"/>
            </w:tabs>
            <w:jc w:val="right"/>
            <w:rPr>
              <w:rFonts w:eastAsia="Calibri"/>
              <w:sz w:val="26"/>
              <w:szCs w:val="26"/>
            </w:rPr>
          </w:pPr>
          <w:r w:rsidRPr="00765CC0">
            <w:rPr>
              <w:rFonts w:eastAsia="Calibri"/>
              <w:sz w:val="26"/>
              <w:szCs w:val="26"/>
            </w:rPr>
            <w:t xml:space="preserve"> </w:t>
          </w:r>
        </w:p>
        <w:p w14:paraId="15BC3B4A" w14:textId="77777777" w:rsidR="00765CC0" w:rsidRPr="00765CC0" w:rsidRDefault="00765CC0" w:rsidP="00765CC0">
          <w:pPr>
            <w:tabs>
              <w:tab w:val="center" w:pos="4680"/>
              <w:tab w:val="right" w:pos="9360"/>
            </w:tabs>
            <w:jc w:val="right"/>
            <w:rPr>
              <w:rFonts w:eastAsia="Calibri"/>
              <w:sz w:val="25"/>
              <w:szCs w:val="25"/>
            </w:rPr>
          </w:pPr>
        </w:p>
      </w:tc>
      <w:tc>
        <w:tcPr>
          <w:tcW w:w="378" w:type="dxa"/>
        </w:tcPr>
        <w:p w14:paraId="713B3AC8" w14:textId="77777777" w:rsidR="00765CC0" w:rsidRPr="00765CC0" w:rsidRDefault="00765CC0" w:rsidP="00765CC0">
          <w:pPr>
            <w:tabs>
              <w:tab w:val="center" w:pos="4680"/>
              <w:tab w:val="right" w:pos="9360"/>
            </w:tabs>
            <w:jc w:val="right"/>
            <w:rPr>
              <w:rFonts w:eastAsia="Calibri"/>
              <w:sz w:val="24"/>
            </w:rPr>
          </w:pPr>
        </w:p>
      </w:tc>
    </w:tr>
    <w:tr w:rsidR="00765CC0" w:rsidRPr="00765CC0" w14:paraId="0FA770FC" w14:textId="77777777" w:rsidTr="004C0365">
      <w:trPr>
        <w:trHeight w:val="350"/>
      </w:trPr>
      <w:tc>
        <w:tcPr>
          <w:tcW w:w="3215" w:type="dxa"/>
          <w:hideMark/>
        </w:tcPr>
        <w:p w14:paraId="3F449A4B" w14:textId="77777777" w:rsidR="00765CC0" w:rsidRPr="00765CC0" w:rsidRDefault="00765CC0" w:rsidP="00765CC0">
          <w:pPr>
            <w:tabs>
              <w:tab w:val="center" w:pos="4680"/>
              <w:tab w:val="right" w:pos="9360"/>
            </w:tabs>
            <w:rPr>
              <w:rFonts w:eastAsia="Calibri"/>
              <w:sz w:val="24"/>
            </w:rPr>
          </w:pPr>
          <w:r w:rsidRPr="00765CC0">
            <w:rPr>
              <w:rFonts w:eastAsia="Calibri"/>
              <w:sz w:val="24"/>
            </w:rPr>
            <w:t>ASUW Judicial Council</w:t>
          </w:r>
        </w:p>
        <w:p w14:paraId="45DFFC46" w14:textId="77777777" w:rsidR="00765CC0" w:rsidRPr="00765CC0" w:rsidRDefault="00765CC0" w:rsidP="00765CC0">
          <w:pPr>
            <w:tabs>
              <w:tab w:val="center" w:pos="4680"/>
              <w:tab w:val="right" w:pos="9360"/>
            </w:tabs>
            <w:rPr>
              <w:rFonts w:eastAsia="Calibri"/>
              <w:sz w:val="18"/>
            </w:rPr>
          </w:pPr>
          <w:r w:rsidRPr="00765CC0">
            <w:rPr>
              <w:rFonts w:eastAsia="Calibri"/>
              <w:sz w:val="18"/>
            </w:rPr>
            <w:t>020 Wyoming Union</w:t>
          </w:r>
        </w:p>
        <w:p w14:paraId="3CDDD8C7" w14:textId="77777777" w:rsidR="00765CC0" w:rsidRPr="00765CC0" w:rsidRDefault="00765CC0" w:rsidP="00765CC0">
          <w:pPr>
            <w:tabs>
              <w:tab w:val="center" w:pos="4680"/>
              <w:tab w:val="right" w:pos="9360"/>
            </w:tabs>
            <w:rPr>
              <w:rFonts w:eastAsia="Calibri"/>
              <w:sz w:val="18"/>
            </w:rPr>
          </w:pPr>
          <w:r w:rsidRPr="00765CC0">
            <w:rPr>
              <w:rFonts w:eastAsia="Calibri"/>
              <w:sz w:val="18"/>
            </w:rPr>
            <w:t>307-766-5204</w:t>
          </w:r>
        </w:p>
        <w:p w14:paraId="25D231D9" w14:textId="77777777" w:rsidR="00765CC0" w:rsidRPr="00765CC0" w:rsidRDefault="00765CC0" w:rsidP="00765CC0">
          <w:pPr>
            <w:tabs>
              <w:tab w:val="center" w:pos="4680"/>
              <w:tab w:val="right" w:pos="9360"/>
            </w:tabs>
            <w:rPr>
              <w:rFonts w:eastAsia="Calibri"/>
            </w:rPr>
          </w:pPr>
          <w:r w:rsidRPr="00765CC0">
            <w:rPr>
              <w:rFonts w:eastAsia="Calibri"/>
              <w:sz w:val="18"/>
            </w:rPr>
            <w:t>asuwjc@uwyo.edu</w:t>
          </w:r>
        </w:p>
      </w:tc>
      <w:tc>
        <w:tcPr>
          <w:tcW w:w="0" w:type="auto"/>
          <w:vMerge/>
          <w:vAlign w:val="center"/>
          <w:hideMark/>
        </w:tcPr>
        <w:p w14:paraId="0BCF065C" w14:textId="77777777" w:rsidR="00765CC0" w:rsidRPr="00765CC0" w:rsidRDefault="00765CC0" w:rsidP="00765CC0">
          <w:pPr>
            <w:rPr>
              <w:rFonts w:eastAsia="Calibri"/>
            </w:rPr>
          </w:pPr>
        </w:p>
      </w:tc>
      <w:tc>
        <w:tcPr>
          <w:tcW w:w="3656" w:type="dxa"/>
          <w:hideMark/>
        </w:tcPr>
        <w:p w14:paraId="2033B790" w14:textId="77777777" w:rsidR="00765CC0" w:rsidRPr="00765CC0" w:rsidRDefault="00765CC0" w:rsidP="00765CC0">
          <w:pPr>
            <w:tabs>
              <w:tab w:val="center" w:pos="4680"/>
              <w:tab w:val="right" w:pos="9360"/>
            </w:tabs>
            <w:rPr>
              <w:rFonts w:eastAsia="Calibri"/>
              <w:sz w:val="24"/>
              <w:szCs w:val="24"/>
            </w:rPr>
          </w:pPr>
          <w:r w:rsidRPr="00765CC0">
            <w:rPr>
              <w:rFonts w:eastAsia="Calibri"/>
              <w:sz w:val="24"/>
              <w:szCs w:val="24"/>
            </w:rPr>
            <w:t xml:space="preserve">  Nicole D. Sanders- Chief Justice</w:t>
          </w:r>
        </w:p>
      </w:tc>
      <w:tc>
        <w:tcPr>
          <w:tcW w:w="378" w:type="dxa"/>
        </w:tcPr>
        <w:p w14:paraId="7B15D55E" w14:textId="77777777" w:rsidR="00765CC0" w:rsidRPr="00765CC0" w:rsidRDefault="00765CC0" w:rsidP="00765CC0">
          <w:pPr>
            <w:tabs>
              <w:tab w:val="center" w:pos="4680"/>
              <w:tab w:val="right" w:pos="9360"/>
            </w:tabs>
            <w:jc w:val="right"/>
            <w:rPr>
              <w:rFonts w:eastAsia="Calibri"/>
              <w:sz w:val="24"/>
            </w:rPr>
          </w:pPr>
        </w:p>
      </w:tc>
    </w:tr>
  </w:tbl>
  <w:p w14:paraId="28A104FA" w14:textId="77777777" w:rsidR="001C003D" w:rsidRPr="00765CC0" w:rsidRDefault="001C003D" w:rsidP="00765CC0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5"/>
      <w:gridCol w:w="1949"/>
      <w:gridCol w:w="3656"/>
      <w:gridCol w:w="378"/>
    </w:tblGrid>
    <w:tr w:rsidR="00421854" w:rsidRPr="00421854" w14:paraId="6AF37958" w14:textId="77777777" w:rsidTr="004C0365">
      <w:trPr>
        <w:trHeight w:val="440"/>
      </w:trPr>
      <w:tc>
        <w:tcPr>
          <w:tcW w:w="3215" w:type="dxa"/>
          <w:hideMark/>
        </w:tcPr>
        <w:p w14:paraId="5A3A96AB" w14:textId="77777777" w:rsidR="00421854" w:rsidRPr="00421854" w:rsidRDefault="00421854" w:rsidP="00421854">
          <w:pPr>
            <w:tabs>
              <w:tab w:val="center" w:pos="4680"/>
              <w:tab w:val="right" w:pos="9360"/>
            </w:tabs>
            <w:rPr>
              <w:rFonts w:ascii="Garamond" w:eastAsia="Calibri" w:hAnsi="Garamond"/>
              <w:sz w:val="28"/>
            </w:rPr>
          </w:pPr>
        </w:p>
        <w:p w14:paraId="14B312B6" w14:textId="77777777" w:rsidR="00421854" w:rsidRPr="00421854" w:rsidRDefault="00421854" w:rsidP="00421854">
          <w:pPr>
            <w:tabs>
              <w:tab w:val="center" w:pos="4680"/>
              <w:tab w:val="right" w:pos="9360"/>
            </w:tabs>
            <w:rPr>
              <w:rFonts w:ascii="Garamond" w:eastAsia="Calibri" w:hAnsi="Garamond"/>
              <w:sz w:val="27"/>
              <w:szCs w:val="27"/>
            </w:rPr>
          </w:pPr>
        </w:p>
      </w:tc>
      <w:tc>
        <w:tcPr>
          <w:tcW w:w="1949" w:type="dxa"/>
          <w:vMerge w:val="restart"/>
          <w:hideMark/>
        </w:tcPr>
        <w:p w14:paraId="34E19BDF" w14:textId="77777777" w:rsidR="00421854" w:rsidRPr="00421854" w:rsidRDefault="00421854" w:rsidP="00421854">
          <w:pPr>
            <w:tabs>
              <w:tab w:val="center" w:pos="4680"/>
              <w:tab w:val="right" w:pos="9360"/>
            </w:tabs>
            <w:jc w:val="center"/>
            <w:rPr>
              <w:rFonts w:ascii="Garamond" w:eastAsia="Calibri" w:hAnsi="Garamond"/>
            </w:rPr>
          </w:pPr>
          <w:r w:rsidRPr="00421854">
            <w:rPr>
              <w:rFonts w:ascii="Garamond" w:eastAsia="Calibri" w:hAnsi="Garamond"/>
              <w:noProof/>
            </w:rPr>
            <w:drawing>
              <wp:inline distT="0" distB="0" distL="0" distR="0" wp14:anchorId="47505E4A" wp14:editId="713E0AF5">
                <wp:extent cx="914400" cy="914400"/>
                <wp:effectExtent l="0" t="0" r="0" b="0"/>
                <wp:docPr id="4" name="Picture 4" descr="A black sign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SUW Logo-mix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6" w:type="dxa"/>
          <w:hideMark/>
        </w:tcPr>
        <w:p w14:paraId="4E2585FD" w14:textId="77777777" w:rsidR="00421854" w:rsidRPr="00421854" w:rsidRDefault="00421854" w:rsidP="00421854">
          <w:pPr>
            <w:tabs>
              <w:tab w:val="center" w:pos="4680"/>
              <w:tab w:val="right" w:pos="9360"/>
            </w:tabs>
            <w:jc w:val="right"/>
            <w:rPr>
              <w:rFonts w:ascii="Garamond" w:eastAsia="Calibri" w:hAnsi="Garamond"/>
              <w:sz w:val="26"/>
              <w:szCs w:val="26"/>
            </w:rPr>
          </w:pPr>
          <w:r w:rsidRPr="00421854">
            <w:rPr>
              <w:rFonts w:ascii="Garamond" w:eastAsia="Calibri" w:hAnsi="Garamond"/>
              <w:sz w:val="26"/>
              <w:szCs w:val="26"/>
            </w:rPr>
            <w:t xml:space="preserve"> </w:t>
          </w:r>
        </w:p>
        <w:p w14:paraId="10921BCC" w14:textId="77777777" w:rsidR="00421854" w:rsidRPr="00421854" w:rsidRDefault="00421854" w:rsidP="00421854">
          <w:pPr>
            <w:tabs>
              <w:tab w:val="center" w:pos="4680"/>
              <w:tab w:val="right" w:pos="9360"/>
            </w:tabs>
            <w:jc w:val="right"/>
            <w:rPr>
              <w:rFonts w:ascii="Garamond" w:eastAsia="Calibri" w:hAnsi="Garamond"/>
              <w:sz w:val="25"/>
              <w:szCs w:val="25"/>
            </w:rPr>
          </w:pPr>
        </w:p>
      </w:tc>
      <w:tc>
        <w:tcPr>
          <w:tcW w:w="378" w:type="dxa"/>
        </w:tcPr>
        <w:p w14:paraId="50410F44" w14:textId="77777777" w:rsidR="00421854" w:rsidRPr="00421854" w:rsidRDefault="00421854" w:rsidP="00421854">
          <w:pPr>
            <w:tabs>
              <w:tab w:val="center" w:pos="4680"/>
              <w:tab w:val="right" w:pos="9360"/>
            </w:tabs>
            <w:jc w:val="right"/>
            <w:rPr>
              <w:rFonts w:ascii="Garamond" w:eastAsia="Calibri" w:hAnsi="Garamond"/>
              <w:sz w:val="24"/>
            </w:rPr>
          </w:pPr>
        </w:p>
      </w:tc>
    </w:tr>
    <w:tr w:rsidR="00421854" w:rsidRPr="00421854" w14:paraId="4290982D" w14:textId="77777777" w:rsidTr="004C0365">
      <w:trPr>
        <w:trHeight w:val="350"/>
      </w:trPr>
      <w:tc>
        <w:tcPr>
          <w:tcW w:w="3215" w:type="dxa"/>
          <w:hideMark/>
        </w:tcPr>
        <w:p w14:paraId="1983166A" w14:textId="77777777" w:rsidR="00421854" w:rsidRPr="00421854" w:rsidRDefault="00421854" w:rsidP="00421854">
          <w:pPr>
            <w:tabs>
              <w:tab w:val="center" w:pos="4680"/>
              <w:tab w:val="right" w:pos="9360"/>
            </w:tabs>
            <w:rPr>
              <w:rFonts w:eastAsia="Calibri"/>
              <w:sz w:val="24"/>
            </w:rPr>
          </w:pPr>
          <w:r w:rsidRPr="00421854">
            <w:rPr>
              <w:rFonts w:eastAsia="Calibri"/>
              <w:sz w:val="24"/>
            </w:rPr>
            <w:t>ASUW Judicial Council</w:t>
          </w:r>
        </w:p>
        <w:p w14:paraId="54FF9448" w14:textId="77777777" w:rsidR="00421854" w:rsidRPr="00421854" w:rsidRDefault="00421854" w:rsidP="00421854">
          <w:pPr>
            <w:tabs>
              <w:tab w:val="center" w:pos="4680"/>
              <w:tab w:val="right" w:pos="9360"/>
            </w:tabs>
            <w:rPr>
              <w:rFonts w:eastAsia="Calibri"/>
              <w:sz w:val="18"/>
            </w:rPr>
          </w:pPr>
          <w:r w:rsidRPr="00421854">
            <w:rPr>
              <w:rFonts w:eastAsia="Calibri"/>
              <w:sz w:val="18"/>
            </w:rPr>
            <w:t>020 Wyoming Union</w:t>
          </w:r>
        </w:p>
        <w:p w14:paraId="6BE87BB3" w14:textId="77777777" w:rsidR="00421854" w:rsidRPr="00421854" w:rsidRDefault="00421854" w:rsidP="00421854">
          <w:pPr>
            <w:tabs>
              <w:tab w:val="center" w:pos="4680"/>
              <w:tab w:val="right" w:pos="9360"/>
            </w:tabs>
            <w:rPr>
              <w:rFonts w:eastAsia="Calibri"/>
              <w:sz w:val="18"/>
            </w:rPr>
          </w:pPr>
          <w:r w:rsidRPr="00421854">
            <w:rPr>
              <w:rFonts w:eastAsia="Calibri"/>
              <w:sz w:val="18"/>
            </w:rPr>
            <w:t>307-766-5204</w:t>
          </w:r>
        </w:p>
        <w:p w14:paraId="50DE714C" w14:textId="77777777" w:rsidR="00421854" w:rsidRPr="00421854" w:rsidRDefault="00421854" w:rsidP="00421854">
          <w:pPr>
            <w:tabs>
              <w:tab w:val="center" w:pos="4680"/>
              <w:tab w:val="right" w:pos="9360"/>
            </w:tabs>
            <w:rPr>
              <w:rFonts w:ascii="Garamond" w:eastAsia="Calibri" w:hAnsi="Garamond"/>
            </w:rPr>
          </w:pPr>
          <w:r w:rsidRPr="00421854">
            <w:rPr>
              <w:rFonts w:eastAsia="Calibri"/>
              <w:sz w:val="18"/>
            </w:rPr>
            <w:t>asuwjc@uwyo.edu</w:t>
          </w:r>
        </w:p>
      </w:tc>
      <w:tc>
        <w:tcPr>
          <w:tcW w:w="0" w:type="auto"/>
          <w:vMerge/>
          <w:vAlign w:val="center"/>
          <w:hideMark/>
        </w:tcPr>
        <w:p w14:paraId="00AD406A" w14:textId="77777777" w:rsidR="00421854" w:rsidRPr="00421854" w:rsidRDefault="00421854" w:rsidP="00421854">
          <w:pPr>
            <w:rPr>
              <w:rFonts w:ascii="Garamond" w:eastAsia="Calibri" w:hAnsi="Garamond"/>
            </w:rPr>
          </w:pPr>
        </w:p>
      </w:tc>
      <w:tc>
        <w:tcPr>
          <w:tcW w:w="3656" w:type="dxa"/>
          <w:hideMark/>
        </w:tcPr>
        <w:p w14:paraId="118CC0C8" w14:textId="77777777" w:rsidR="00421854" w:rsidRPr="00421854" w:rsidRDefault="00421854" w:rsidP="00421854">
          <w:pPr>
            <w:tabs>
              <w:tab w:val="center" w:pos="4680"/>
              <w:tab w:val="right" w:pos="9360"/>
            </w:tabs>
            <w:rPr>
              <w:rFonts w:eastAsia="Calibri"/>
              <w:sz w:val="24"/>
              <w:szCs w:val="24"/>
            </w:rPr>
          </w:pPr>
          <w:r w:rsidRPr="00421854">
            <w:rPr>
              <w:rFonts w:eastAsia="Calibri"/>
              <w:sz w:val="24"/>
              <w:szCs w:val="24"/>
            </w:rPr>
            <w:t xml:space="preserve">  Nicole D. Sanders- Chief Justice</w:t>
          </w:r>
        </w:p>
      </w:tc>
      <w:tc>
        <w:tcPr>
          <w:tcW w:w="378" w:type="dxa"/>
        </w:tcPr>
        <w:p w14:paraId="5FCC7AD1" w14:textId="77777777" w:rsidR="00421854" w:rsidRPr="00421854" w:rsidRDefault="00421854" w:rsidP="00421854">
          <w:pPr>
            <w:tabs>
              <w:tab w:val="center" w:pos="4680"/>
              <w:tab w:val="right" w:pos="9360"/>
            </w:tabs>
            <w:jc w:val="right"/>
            <w:rPr>
              <w:rFonts w:ascii="Garamond" w:eastAsia="Calibri" w:hAnsi="Garamond"/>
              <w:sz w:val="24"/>
            </w:rPr>
          </w:pPr>
        </w:p>
      </w:tc>
    </w:tr>
  </w:tbl>
  <w:p w14:paraId="611AA8D4" w14:textId="77777777" w:rsidR="001C003D" w:rsidRPr="00421854" w:rsidRDefault="001C003D" w:rsidP="004218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04048"/>
    <w:multiLevelType w:val="hybridMultilevel"/>
    <w:tmpl w:val="AE72ED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A35B70"/>
    <w:multiLevelType w:val="hybridMultilevel"/>
    <w:tmpl w:val="4D3C849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69"/>
    <w:rsid w:val="00014397"/>
    <w:rsid w:val="00032081"/>
    <w:rsid w:val="00041FD0"/>
    <w:rsid w:val="00042947"/>
    <w:rsid w:val="000431FA"/>
    <w:rsid w:val="00046E2B"/>
    <w:rsid w:val="00047B0C"/>
    <w:rsid w:val="00080A31"/>
    <w:rsid w:val="0009483E"/>
    <w:rsid w:val="000C2202"/>
    <w:rsid w:val="000C618F"/>
    <w:rsid w:val="000E3D2D"/>
    <w:rsid w:val="00100B80"/>
    <w:rsid w:val="00106B02"/>
    <w:rsid w:val="001279B4"/>
    <w:rsid w:val="001356D2"/>
    <w:rsid w:val="00140659"/>
    <w:rsid w:val="0014788C"/>
    <w:rsid w:val="001B6616"/>
    <w:rsid w:val="001C003D"/>
    <w:rsid w:val="001F6EEF"/>
    <w:rsid w:val="00231EDE"/>
    <w:rsid w:val="002512BB"/>
    <w:rsid w:val="00275169"/>
    <w:rsid w:val="00284891"/>
    <w:rsid w:val="002C7D12"/>
    <w:rsid w:val="002D4656"/>
    <w:rsid w:val="003137E0"/>
    <w:rsid w:val="00316BB3"/>
    <w:rsid w:val="00375592"/>
    <w:rsid w:val="00377D71"/>
    <w:rsid w:val="00381A47"/>
    <w:rsid w:val="00381A5D"/>
    <w:rsid w:val="003E5A4D"/>
    <w:rsid w:val="00403286"/>
    <w:rsid w:val="00421854"/>
    <w:rsid w:val="00456CFA"/>
    <w:rsid w:val="00494E6D"/>
    <w:rsid w:val="004A643F"/>
    <w:rsid w:val="00531FC9"/>
    <w:rsid w:val="00534052"/>
    <w:rsid w:val="0055725A"/>
    <w:rsid w:val="00560AA0"/>
    <w:rsid w:val="005E1626"/>
    <w:rsid w:val="00601014"/>
    <w:rsid w:val="006243F0"/>
    <w:rsid w:val="0063467D"/>
    <w:rsid w:val="006560B4"/>
    <w:rsid w:val="006C502C"/>
    <w:rsid w:val="00726B67"/>
    <w:rsid w:val="00734FD2"/>
    <w:rsid w:val="0074285C"/>
    <w:rsid w:val="00765CC0"/>
    <w:rsid w:val="007F2C55"/>
    <w:rsid w:val="00801192"/>
    <w:rsid w:val="00840E0F"/>
    <w:rsid w:val="00855D9A"/>
    <w:rsid w:val="0088764B"/>
    <w:rsid w:val="008E40B8"/>
    <w:rsid w:val="009033A2"/>
    <w:rsid w:val="009369EF"/>
    <w:rsid w:val="0096022E"/>
    <w:rsid w:val="00984B3A"/>
    <w:rsid w:val="00986EC1"/>
    <w:rsid w:val="009C0F57"/>
    <w:rsid w:val="009D5194"/>
    <w:rsid w:val="009E5632"/>
    <w:rsid w:val="009F22AB"/>
    <w:rsid w:val="00A016B2"/>
    <w:rsid w:val="00A06A0B"/>
    <w:rsid w:val="00A167AA"/>
    <w:rsid w:val="00A40F1E"/>
    <w:rsid w:val="00A91043"/>
    <w:rsid w:val="00AB6F01"/>
    <w:rsid w:val="00AD2F08"/>
    <w:rsid w:val="00AD72B2"/>
    <w:rsid w:val="00AE1F6E"/>
    <w:rsid w:val="00B132A7"/>
    <w:rsid w:val="00B21375"/>
    <w:rsid w:val="00B447A2"/>
    <w:rsid w:val="00BC7B24"/>
    <w:rsid w:val="00BE19CD"/>
    <w:rsid w:val="00C64E41"/>
    <w:rsid w:val="00CD52F2"/>
    <w:rsid w:val="00CE2376"/>
    <w:rsid w:val="00D05A42"/>
    <w:rsid w:val="00D17BD7"/>
    <w:rsid w:val="00D64A22"/>
    <w:rsid w:val="00D70467"/>
    <w:rsid w:val="00DA1B0C"/>
    <w:rsid w:val="00DB0CC9"/>
    <w:rsid w:val="00DE360F"/>
    <w:rsid w:val="00DF3B26"/>
    <w:rsid w:val="00E12F2C"/>
    <w:rsid w:val="00E64877"/>
    <w:rsid w:val="00E83A33"/>
    <w:rsid w:val="00E9123A"/>
    <w:rsid w:val="00EE5AE1"/>
    <w:rsid w:val="00F04E0A"/>
    <w:rsid w:val="00F57446"/>
    <w:rsid w:val="00F911D2"/>
    <w:rsid w:val="00FC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255D0D"/>
  <w14:defaultImageDpi w14:val="32767"/>
  <w15:chartTrackingRefBased/>
  <w15:docId w15:val="{38973E7A-CA97-9E42-A666-544899F5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33A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03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C003D"/>
  </w:style>
  <w:style w:type="paragraph" w:styleId="Footer">
    <w:name w:val="footer"/>
    <w:basedOn w:val="Normal"/>
    <w:link w:val="FooterChar"/>
    <w:uiPriority w:val="99"/>
    <w:unhideWhenUsed/>
    <w:rsid w:val="001C003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C003D"/>
  </w:style>
  <w:style w:type="table" w:styleId="TableGrid">
    <w:name w:val="Table Grid"/>
    <w:basedOn w:val="TableNormal"/>
    <w:uiPriority w:val="59"/>
    <w:rsid w:val="001C003D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8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356D2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semiHidden/>
    <w:unhideWhenUsed/>
    <w:rsid w:val="00765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Cloud</dc:creator>
  <cp:keywords/>
  <dc:description/>
  <cp:lastModifiedBy>Morgan Cloud</cp:lastModifiedBy>
  <cp:revision>126</cp:revision>
  <dcterms:created xsi:type="dcterms:W3CDTF">2021-02-07T20:37:00Z</dcterms:created>
  <dcterms:modified xsi:type="dcterms:W3CDTF">2021-02-09T02:40:00Z</dcterms:modified>
</cp:coreProperties>
</file>