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1403" w14:textId="77777777" w:rsidR="00475865" w:rsidRDefault="00B36CDF" w:rsidP="00C61BF4">
      <w:pPr>
        <w:spacing w:after="0" w:line="240" w:lineRule="auto"/>
        <w:jc w:val="both"/>
        <w:rPr>
          <w:rFonts w:cs="Times New Roman"/>
          <w:color w:val="000000"/>
          <w:szCs w:val="24"/>
        </w:rPr>
      </w:pPr>
      <w:r>
        <w:rPr>
          <w:noProof/>
        </w:rPr>
        <w:drawing>
          <wp:inline distT="0" distB="0" distL="0" distR="0" wp14:anchorId="7F7B1A8D" wp14:editId="30B695F9">
            <wp:extent cx="261874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752475"/>
                    </a:xfrm>
                    <a:prstGeom prst="rect">
                      <a:avLst/>
                    </a:prstGeom>
                    <a:noFill/>
                  </pic:spPr>
                </pic:pic>
              </a:graphicData>
            </a:graphic>
          </wp:inline>
        </w:drawing>
      </w:r>
    </w:p>
    <w:p w14:paraId="726F89F5" w14:textId="77777777" w:rsidR="00E8291B" w:rsidRDefault="00E8291B" w:rsidP="00C61BF4">
      <w:pPr>
        <w:spacing w:after="0" w:line="240" w:lineRule="auto"/>
        <w:jc w:val="both"/>
        <w:rPr>
          <w:rFonts w:cs="Times New Roman"/>
          <w:color w:val="000000"/>
          <w:szCs w:val="24"/>
        </w:rPr>
      </w:pPr>
    </w:p>
    <w:p w14:paraId="3C0C7829" w14:textId="77777777" w:rsidR="00C63405" w:rsidRPr="00C63405" w:rsidRDefault="00625E15" w:rsidP="00C63405">
      <w:pPr>
        <w:spacing w:after="0" w:line="240" w:lineRule="auto"/>
        <w:jc w:val="center"/>
        <w:rPr>
          <w:rFonts w:cs="Times New Roman"/>
          <w:b/>
          <w:color w:val="000000"/>
          <w:szCs w:val="24"/>
        </w:rPr>
      </w:pPr>
      <w:r>
        <w:rPr>
          <w:rFonts w:cs="Times New Roman"/>
          <w:b/>
          <w:color w:val="000000"/>
          <w:szCs w:val="24"/>
        </w:rPr>
        <w:t xml:space="preserve">Budget Office </w:t>
      </w:r>
      <w:r w:rsidR="00C63405" w:rsidRPr="00C63405">
        <w:rPr>
          <w:rFonts w:cs="Times New Roman"/>
          <w:b/>
          <w:color w:val="000000"/>
          <w:szCs w:val="24"/>
        </w:rPr>
        <w:t xml:space="preserve">Procedure </w:t>
      </w:r>
    </w:p>
    <w:p w14:paraId="456A95FC" w14:textId="77777777" w:rsidR="00C63405" w:rsidRPr="00C63405" w:rsidRDefault="00C63405" w:rsidP="00C63405">
      <w:pPr>
        <w:spacing w:after="0" w:line="240" w:lineRule="auto"/>
        <w:jc w:val="center"/>
        <w:rPr>
          <w:rFonts w:cs="Times New Roman"/>
          <w:b/>
          <w:color w:val="000000"/>
          <w:szCs w:val="24"/>
        </w:rPr>
      </w:pPr>
      <w:r w:rsidRPr="00C63405">
        <w:rPr>
          <w:rFonts w:cs="Times New Roman"/>
          <w:b/>
          <w:color w:val="000000"/>
          <w:szCs w:val="24"/>
        </w:rPr>
        <w:t>For:</w:t>
      </w:r>
    </w:p>
    <w:p w14:paraId="2508BD44" w14:textId="77777777" w:rsidR="00C63405" w:rsidRDefault="00C63405" w:rsidP="00C63405">
      <w:pPr>
        <w:spacing w:after="0" w:line="240" w:lineRule="auto"/>
        <w:jc w:val="center"/>
        <w:rPr>
          <w:rFonts w:cs="Times New Roman"/>
          <w:color w:val="000000"/>
          <w:szCs w:val="24"/>
        </w:rPr>
      </w:pPr>
    </w:p>
    <w:p w14:paraId="5B518F93" w14:textId="77777777" w:rsidR="00C63405" w:rsidRPr="00C63405" w:rsidRDefault="00DD31C9" w:rsidP="00C63405">
      <w:pPr>
        <w:pBdr>
          <w:bottom w:val="single" w:sz="12" w:space="1" w:color="auto"/>
        </w:pBdr>
        <w:spacing w:after="0" w:line="240" w:lineRule="auto"/>
        <w:jc w:val="center"/>
        <w:rPr>
          <w:rFonts w:cs="Times New Roman"/>
          <w:b/>
          <w:i/>
          <w:color w:val="000000"/>
          <w:szCs w:val="24"/>
        </w:rPr>
      </w:pPr>
      <w:r>
        <w:rPr>
          <w:rFonts w:cs="Times New Roman"/>
          <w:b/>
          <w:i/>
          <w:color w:val="000000"/>
          <w:szCs w:val="24"/>
        </w:rPr>
        <w:t xml:space="preserve">Internal Allocation and </w:t>
      </w:r>
      <w:r w:rsidR="00F6433F">
        <w:rPr>
          <w:rFonts w:cs="Times New Roman"/>
          <w:b/>
          <w:i/>
          <w:color w:val="000000"/>
          <w:szCs w:val="24"/>
        </w:rPr>
        <w:t>Transfer Request</w:t>
      </w:r>
    </w:p>
    <w:p w14:paraId="62FDEB3E" w14:textId="77777777" w:rsidR="00C63405" w:rsidRDefault="00C63405" w:rsidP="00C63405">
      <w:pPr>
        <w:spacing w:after="0" w:line="240" w:lineRule="auto"/>
        <w:jc w:val="center"/>
        <w:rPr>
          <w:rFonts w:cs="Times New Roman"/>
          <w:color w:val="000000"/>
          <w:szCs w:val="24"/>
        </w:rPr>
      </w:pPr>
    </w:p>
    <w:p w14:paraId="4236987E" w14:textId="7A809DF5" w:rsidR="00DD31C9" w:rsidRPr="00DD31C9" w:rsidRDefault="00DD31C9" w:rsidP="00F6433F">
      <w:pPr>
        <w:spacing w:after="0" w:line="240" w:lineRule="auto"/>
        <w:rPr>
          <w:rFonts w:asciiTheme="minorHAnsi" w:hAnsiTheme="minorHAnsi"/>
          <w:b/>
          <w:szCs w:val="24"/>
        </w:rPr>
      </w:pPr>
      <w:r w:rsidRPr="00F81037">
        <w:rPr>
          <w:rFonts w:asciiTheme="minorHAnsi" w:hAnsiTheme="minorHAnsi"/>
          <w:b/>
          <w:szCs w:val="24"/>
          <w:u w:val="single"/>
        </w:rPr>
        <w:t>Purpose:</w:t>
      </w:r>
      <w:r w:rsidR="00F81037">
        <w:rPr>
          <w:rFonts w:asciiTheme="minorHAnsi" w:hAnsiTheme="minorHAnsi"/>
          <w:b/>
          <w:szCs w:val="24"/>
        </w:rPr>
        <w:t xml:space="preserve"> </w:t>
      </w:r>
      <w:r w:rsidR="009061F6">
        <w:rPr>
          <w:rFonts w:asciiTheme="minorHAnsi" w:hAnsiTheme="minorHAnsi"/>
          <w:b/>
          <w:szCs w:val="24"/>
        </w:rPr>
        <w:t xml:space="preserve"> </w:t>
      </w:r>
      <w:r w:rsidR="00F81037">
        <w:rPr>
          <w:rFonts w:asciiTheme="minorHAnsi" w:hAnsiTheme="minorHAnsi"/>
          <w:szCs w:val="24"/>
        </w:rPr>
        <w:t xml:space="preserve">To </w:t>
      </w:r>
      <w:r w:rsidR="005A20B9">
        <w:rPr>
          <w:rFonts w:asciiTheme="minorHAnsi" w:hAnsiTheme="minorHAnsi"/>
          <w:szCs w:val="24"/>
        </w:rPr>
        <w:t xml:space="preserve">provide guidance on the </w:t>
      </w:r>
      <w:r w:rsidR="00B423E6" w:rsidRPr="009D6835">
        <w:rPr>
          <w:rFonts w:asciiTheme="minorHAnsi" w:hAnsiTheme="minorHAnsi"/>
          <w:szCs w:val="24"/>
        </w:rPr>
        <w:t>internal</w:t>
      </w:r>
      <w:r w:rsidR="009D6835" w:rsidRPr="009D6835">
        <w:rPr>
          <w:rFonts w:asciiTheme="minorHAnsi" w:hAnsiTheme="minorHAnsi"/>
          <w:szCs w:val="24"/>
        </w:rPr>
        <w:t xml:space="preserve"> allocat</w:t>
      </w:r>
      <w:r w:rsidR="00F81037">
        <w:rPr>
          <w:rFonts w:asciiTheme="minorHAnsi" w:hAnsiTheme="minorHAnsi"/>
          <w:szCs w:val="24"/>
        </w:rPr>
        <w:t>ion</w:t>
      </w:r>
      <w:r w:rsidR="009D6835" w:rsidRPr="009D6835">
        <w:rPr>
          <w:rFonts w:asciiTheme="minorHAnsi" w:hAnsiTheme="minorHAnsi"/>
          <w:szCs w:val="24"/>
        </w:rPr>
        <w:t>/transfer</w:t>
      </w:r>
      <w:r w:rsidR="00F81037">
        <w:rPr>
          <w:rFonts w:asciiTheme="minorHAnsi" w:hAnsiTheme="minorHAnsi"/>
          <w:szCs w:val="24"/>
        </w:rPr>
        <w:t xml:space="preserve"> of</w:t>
      </w:r>
      <w:r w:rsidR="009D6835" w:rsidRPr="009D6835">
        <w:rPr>
          <w:rFonts w:asciiTheme="minorHAnsi" w:hAnsiTheme="minorHAnsi"/>
          <w:szCs w:val="24"/>
        </w:rPr>
        <w:t xml:space="preserve"> </w:t>
      </w:r>
      <w:r w:rsidR="00B423E6" w:rsidRPr="009D6835">
        <w:rPr>
          <w:rFonts w:asciiTheme="minorHAnsi" w:hAnsiTheme="minorHAnsi"/>
          <w:szCs w:val="24"/>
        </w:rPr>
        <w:t>funds</w:t>
      </w:r>
      <w:r w:rsidR="009D6835" w:rsidRPr="009D6835">
        <w:rPr>
          <w:rFonts w:asciiTheme="minorHAnsi" w:hAnsiTheme="minorHAnsi"/>
          <w:szCs w:val="24"/>
        </w:rPr>
        <w:t xml:space="preserve"> between department and</w:t>
      </w:r>
      <w:r w:rsidR="00F81037">
        <w:rPr>
          <w:rFonts w:asciiTheme="minorHAnsi" w:hAnsiTheme="minorHAnsi"/>
          <w:szCs w:val="24"/>
        </w:rPr>
        <w:t>/or</w:t>
      </w:r>
      <w:r w:rsidR="009D6835" w:rsidRPr="009D6835">
        <w:rPr>
          <w:rFonts w:asciiTheme="minorHAnsi" w:hAnsiTheme="minorHAnsi"/>
          <w:szCs w:val="24"/>
        </w:rPr>
        <w:t xml:space="preserve"> </w:t>
      </w:r>
      <w:r w:rsidR="00F81037">
        <w:rPr>
          <w:rFonts w:asciiTheme="minorHAnsi" w:hAnsiTheme="minorHAnsi"/>
          <w:szCs w:val="24"/>
        </w:rPr>
        <w:t xml:space="preserve">division in the WyoCloud Financial System. </w:t>
      </w:r>
    </w:p>
    <w:p w14:paraId="4384F3FD" w14:textId="77777777" w:rsidR="00DD31C9" w:rsidRPr="009061F6" w:rsidRDefault="00DD31C9" w:rsidP="00F6433F">
      <w:pPr>
        <w:spacing w:after="0" w:line="240" w:lineRule="auto"/>
        <w:rPr>
          <w:rFonts w:asciiTheme="minorHAnsi" w:hAnsiTheme="minorHAnsi"/>
          <w:szCs w:val="24"/>
          <w:u w:val="single"/>
        </w:rPr>
      </w:pPr>
    </w:p>
    <w:p w14:paraId="5E90FF0F" w14:textId="77777777" w:rsidR="00F6433F" w:rsidRPr="00B65D9C" w:rsidRDefault="00F6433F" w:rsidP="00F6433F">
      <w:pPr>
        <w:spacing w:after="0" w:line="240" w:lineRule="auto"/>
        <w:rPr>
          <w:rFonts w:asciiTheme="minorHAnsi" w:hAnsiTheme="minorHAnsi"/>
          <w:b/>
          <w:szCs w:val="24"/>
          <w:u w:val="single"/>
        </w:rPr>
      </w:pPr>
      <w:r w:rsidRPr="00B65D9C">
        <w:rPr>
          <w:rFonts w:asciiTheme="minorHAnsi" w:hAnsiTheme="minorHAnsi"/>
          <w:b/>
          <w:szCs w:val="24"/>
          <w:u w:val="single"/>
        </w:rPr>
        <w:t>Internal Allocations &amp; Sales Rollup Internal Service Allocation Grouping (IDT)</w:t>
      </w:r>
    </w:p>
    <w:p w14:paraId="7B95CD98" w14:textId="77777777"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76001 Internal Service Allocation: Plant Operations</w:t>
      </w:r>
    </w:p>
    <w:p w14:paraId="3CFD36AE" w14:textId="77777777" w:rsidR="00F6433F" w:rsidRPr="002C46A8" w:rsidRDefault="00F6433F" w:rsidP="00F6433F">
      <w:pPr>
        <w:numPr>
          <w:ilvl w:val="0"/>
          <w:numId w:val="7"/>
        </w:numPr>
        <w:spacing w:after="0" w:line="240" w:lineRule="auto"/>
        <w:contextualSpacing/>
        <w:rPr>
          <w:rFonts w:asciiTheme="minorHAnsi" w:hAnsiTheme="minorHAnsi"/>
          <w:szCs w:val="24"/>
        </w:rPr>
      </w:pPr>
      <w:r w:rsidRPr="002C46A8">
        <w:rPr>
          <w:rFonts w:asciiTheme="minorHAnsi" w:hAnsiTheme="minorHAnsi"/>
          <w:szCs w:val="24"/>
        </w:rPr>
        <w:t>Includes internal charges to and from</w:t>
      </w:r>
      <w:r w:rsidR="000156DC" w:rsidRPr="002C46A8">
        <w:rPr>
          <w:rFonts w:asciiTheme="minorHAnsi" w:hAnsiTheme="minorHAnsi"/>
          <w:szCs w:val="24"/>
        </w:rPr>
        <w:t xml:space="preserve"> University </w:t>
      </w:r>
      <w:r w:rsidRPr="002C46A8">
        <w:rPr>
          <w:rFonts w:asciiTheme="minorHAnsi" w:hAnsiTheme="minorHAnsi"/>
          <w:szCs w:val="24"/>
        </w:rPr>
        <w:t>Operations</w:t>
      </w:r>
      <w:r w:rsidR="000156DC" w:rsidRPr="002C46A8">
        <w:rPr>
          <w:rFonts w:asciiTheme="minorHAnsi" w:hAnsiTheme="minorHAnsi"/>
          <w:szCs w:val="24"/>
        </w:rPr>
        <w:t xml:space="preserve"> related to Plant/Building Charges (i</w:t>
      </w:r>
      <w:r w:rsidR="005629FA">
        <w:rPr>
          <w:rFonts w:asciiTheme="minorHAnsi" w:hAnsiTheme="minorHAnsi"/>
          <w:szCs w:val="24"/>
        </w:rPr>
        <w:t>.</w:t>
      </w:r>
      <w:r w:rsidR="000156DC" w:rsidRPr="002C46A8">
        <w:rPr>
          <w:rFonts w:asciiTheme="minorHAnsi" w:hAnsiTheme="minorHAnsi"/>
          <w:szCs w:val="24"/>
        </w:rPr>
        <w:t>e</w:t>
      </w:r>
      <w:r w:rsidR="005629FA">
        <w:rPr>
          <w:rFonts w:asciiTheme="minorHAnsi" w:hAnsiTheme="minorHAnsi"/>
          <w:szCs w:val="24"/>
        </w:rPr>
        <w:t>.</w:t>
      </w:r>
      <w:r w:rsidR="000156DC" w:rsidRPr="002C46A8">
        <w:rPr>
          <w:rFonts w:asciiTheme="minorHAnsi" w:hAnsiTheme="minorHAnsi"/>
          <w:szCs w:val="24"/>
        </w:rPr>
        <w:t>, U</w:t>
      </w:r>
      <w:r w:rsidR="00B65D9C">
        <w:rPr>
          <w:rFonts w:asciiTheme="minorHAnsi" w:hAnsiTheme="minorHAnsi"/>
          <w:szCs w:val="24"/>
        </w:rPr>
        <w:t>tilities, Maintenance/Repairs, etc</w:t>
      </w:r>
      <w:r w:rsidR="000156DC" w:rsidRPr="002C46A8">
        <w:rPr>
          <w:rFonts w:asciiTheme="minorHAnsi" w:hAnsiTheme="minorHAnsi"/>
          <w:szCs w:val="24"/>
        </w:rPr>
        <w:t>.)</w:t>
      </w:r>
    </w:p>
    <w:p w14:paraId="592791CB" w14:textId="77777777"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76002 Internal Service Allocation: Info Tech</w:t>
      </w:r>
    </w:p>
    <w:p w14:paraId="5E10F7C1" w14:textId="77777777" w:rsidR="00F6433F" w:rsidRPr="002C46A8" w:rsidRDefault="00F6433F" w:rsidP="00F6433F">
      <w:pPr>
        <w:numPr>
          <w:ilvl w:val="0"/>
          <w:numId w:val="6"/>
        </w:numPr>
        <w:spacing w:after="0" w:line="240" w:lineRule="auto"/>
        <w:contextualSpacing/>
        <w:rPr>
          <w:rFonts w:asciiTheme="minorHAnsi" w:hAnsiTheme="minorHAnsi"/>
          <w:szCs w:val="24"/>
        </w:rPr>
      </w:pPr>
      <w:r w:rsidRPr="002C46A8">
        <w:rPr>
          <w:rFonts w:asciiTheme="minorHAnsi" w:hAnsiTheme="minorHAnsi"/>
          <w:szCs w:val="24"/>
        </w:rPr>
        <w:t>Includes internal charges to and from Information Technology for UW</w:t>
      </w:r>
      <w:r w:rsidR="000156DC" w:rsidRPr="002C46A8">
        <w:rPr>
          <w:rFonts w:asciiTheme="minorHAnsi" w:hAnsiTheme="minorHAnsi"/>
          <w:szCs w:val="24"/>
        </w:rPr>
        <w:t xml:space="preserve"> IT</w:t>
      </w:r>
      <w:r w:rsidRPr="002C46A8">
        <w:rPr>
          <w:rFonts w:asciiTheme="minorHAnsi" w:hAnsiTheme="minorHAnsi"/>
          <w:szCs w:val="24"/>
        </w:rPr>
        <w:t xml:space="preserve"> services</w:t>
      </w:r>
      <w:r w:rsidR="000156DC" w:rsidRPr="002C46A8">
        <w:rPr>
          <w:rFonts w:asciiTheme="minorHAnsi" w:hAnsiTheme="minorHAnsi"/>
          <w:szCs w:val="24"/>
        </w:rPr>
        <w:t xml:space="preserve"> (i</w:t>
      </w:r>
      <w:r w:rsidR="005629FA">
        <w:rPr>
          <w:rFonts w:asciiTheme="minorHAnsi" w:hAnsiTheme="minorHAnsi"/>
          <w:szCs w:val="24"/>
        </w:rPr>
        <w:t>.</w:t>
      </w:r>
      <w:r w:rsidR="000156DC" w:rsidRPr="002C46A8">
        <w:rPr>
          <w:rFonts w:asciiTheme="minorHAnsi" w:hAnsiTheme="minorHAnsi"/>
          <w:szCs w:val="24"/>
        </w:rPr>
        <w:t>e</w:t>
      </w:r>
      <w:r w:rsidR="005629FA">
        <w:rPr>
          <w:rFonts w:asciiTheme="minorHAnsi" w:hAnsiTheme="minorHAnsi"/>
          <w:szCs w:val="24"/>
        </w:rPr>
        <w:t>.</w:t>
      </w:r>
      <w:r w:rsidR="000156DC" w:rsidRPr="002C46A8">
        <w:rPr>
          <w:rFonts w:asciiTheme="minorHAnsi" w:hAnsiTheme="minorHAnsi"/>
          <w:szCs w:val="24"/>
        </w:rPr>
        <w:t xml:space="preserve">, Telecommunication, Data, Networks parts, </w:t>
      </w:r>
      <w:r w:rsidR="00B65D9C">
        <w:rPr>
          <w:rFonts w:asciiTheme="minorHAnsi" w:hAnsiTheme="minorHAnsi"/>
          <w:szCs w:val="24"/>
        </w:rPr>
        <w:t>etc</w:t>
      </w:r>
      <w:r w:rsidR="000156DC" w:rsidRPr="002C46A8">
        <w:rPr>
          <w:rFonts w:asciiTheme="minorHAnsi" w:hAnsiTheme="minorHAnsi"/>
          <w:szCs w:val="24"/>
        </w:rPr>
        <w:t>.)</w:t>
      </w:r>
    </w:p>
    <w:p w14:paraId="4BFD8D3D" w14:textId="77777777"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76003 Internal Service Allocation: Other Inter Unit/Center Allocations Grouping</w:t>
      </w:r>
    </w:p>
    <w:p w14:paraId="59204D1A" w14:textId="77777777" w:rsidR="00F6433F" w:rsidRPr="002C46A8" w:rsidRDefault="00F6433F" w:rsidP="00F6433F">
      <w:pPr>
        <w:numPr>
          <w:ilvl w:val="0"/>
          <w:numId w:val="6"/>
        </w:numPr>
        <w:spacing w:after="0" w:line="240" w:lineRule="auto"/>
        <w:contextualSpacing/>
        <w:rPr>
          <w:rFonts w:asciiTheme="minorHAnsi" w:hAnsiTheme="minorHAnsi"/>
          <w:szCs w:val="24"/>
        </w:rPr>
      </w:pPr>
      <w:r w:rsidRPr="002C46A8">
        <w:rPr>
          <w:rFonts w:asciiTheme="minorHAnsi" w:hAnsiTheme="minorHAnsi"/>
          <w:szCs w:val="24"/>
        </w:rPr>
        <w:t xml:space="preserve">Internal charges to and from other units on campus for </w:t>
      </w:r>
      <w:r w:rsidR="000156DC" w:rsidRPr="002C46A8">
        <w:rPr>
          <w:rFonts w:asciiTheme="minorHAnsi" w:hAnsiTheme="minorHAnsi"/>
          <w:szCs w:val="24"/>
        </w:rPr>
        <w:t>all other services (outside of 76001, 76002, and 76601)</w:t>
      </w:r>
    </w:p>
    <w:p w14:paraId="473AC685" w14:textId="77777777"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76601 Internal Sales Auxiliaries</w:t>
      </w:r>
    </w:p>
    <w:p w14:paraId="34DEC19F" w14:textId="7EC8F02C" w:rsidR="00F6433F" w:rsidRPr="002C46A8" w:rsidRDefault="00F6433F" w:rsidP="00F6433F">
      <w:pPr>
        <w:numPr>
          <w:ilvl w:val="0"/>
          <w:numId w:val="6"/>
        </w:numPr>
        <w:spacing w:after="0" w:line="240" w:lineRule="auto"/>
        <w:contextualSpacing/>
        <w:rPr>
          <w:rFonts w:asciiTheme="minorHAnsi" w:hAnsiTheme="minorHAnsi"/>
          <w:szCs w:val="24"/>
        </w:rPr>
      </w:pPr>
      <w:r w:rsidRPr="002C46A8">
        <w:rPr>
          <w:rFonts w:asciiTheme="minorHAnsi" w:hAnsiTheme="minorHAnsi"/>
          <w:szCs w:val="24"/>
        </w:rPr>
        <w:t>Internal charges to and from auxiliary services</w:t>
      </w:r>
      <w:r w:rsidR="000156DC" w:rsidRPr="002C46A8">
        <w:rPr>
          <w:rFonts w:asciiTheme="minorHAnsi" w:hAnsiTheme="minorHAnsi"/>
          <w:szCs w:val="24"/>
        </w:rPr>
        <w:t xml:space="preserve"> (i</w:t>
      </w:r>
      <w:r w:rsidR="005629FA">
        <w:rPr>
          <w:rFonts w:asciiTheme="minorHAnsi" w:hAnsiTheme="minorHAnsi"/>
          <w:szCs w:val="24"/>
        </w:rPr>
        <w:t>.</w:t>
      </w:r>
      <w:r w:rsidR="000156DC" w:rsidRPr="002C46A8">
        <w:rPr>
          <w:rFonts w:asciiTheme="minorHAnsi" w:hAnsiTheme="minorHAnsi"/>
          <w:szCs w:val="24"/>
        </w:rPr>
        <w:t>e</w:t>
      </w:r>
      <w:r w:rsidR="005629FA">
        <w:rPr>
          <w:rFonts w:asciiTheme="minorHAnsi" w:hAnsiTheme="minorHAnsi"/>
          <w:szCs w:val="24"/>
        </w:rPr>
        <w:t>.</w:t>
      </w:r>
      <w:r w:rsidR="000156DC" w:rsidRPr="002C46A8">
        <w:rPr>
          <w:rFonts w:asciiTheme="minorHAnsi" w:hAnsiTheme="minorHAnsi"/>
          <w:szCs w:val="24"/>
        </w:rPr>
        <w:t xml:space="preserve">, </w:t>
      </w:r>
      <w:r w:rsidR="00B423E6">
        <w:rPr>
          <w:rFonts w:asciiTheme="minorHAnsi" w:hAnsiTheme="minorHAnsi"/>
          <w:szCs w:val="24"/>
        </w:rPr>
        <w:t>S</w:t>
      </w:r>
      <w:r w:rsidR="000156DC" w:rsidRPr="002C46A8">
        <w:rPr>
          <w:rFonts w:asciiTheme="minorHAnsi" w:hAnsiTheme="minorHAnsi"/>
          <w:szCs w:val="24"/>
        </w:rPr>
        <w:t xml:space="preserve">tore, Copy </w:t>
      </w:r>
      <w:r w:rsidR="00B423E6">
        <w:rPr>
          <w:rFonts w:asciiTheme="minorHAnsi" w:hAnsiTheme="minorHAnsi"/>
          <w:szCs w:val="24"/>
        </w:rPr>
        <w:t xml:space="preserve">&amp; Print </w:t>
      </w:r>
      <w:r w:rsidR="000156DC" w:rsidRPr="002C46A8">
        <w:rPr>
          <w:rFonts w:asciiTheme="minorHAnsi" w:hAnsiTheme="minorHAnsi"/>
          <w:szCs w:val="24"/>
        </w:rPr>
        <w:t xml:space="preserve">Center, </w:t>
      </w:r>
      <w:r w:rsidR="00B423E6">
        <w:rPr>
          <w:rFonts w:asciiTheme="minorHAnsi" w:hAnsiTheme="minorHAnsi"/>
          <w:szCs w:val="24"/>
        </w:rPr>
        <w:t>Transportation Services</w:t>
      </w:r>
      <w:r w:rsidR="000156DC" w:rsidRPr="002C46A8">
        <w:rPr>
          <w:rFonts w:asciiTheme="minorHAnsi" w:hAnsiTheme="minorHAnsi"/>
          <w:szCs w:val="24"/>
        </w:rPr>
        <w:t xml:space="preserve">, </w:t>
      </w:r>
      <w:r w:rsidR="00B65D9C">
        <w:rPr>
          <w:rFonts w:asciiTheme="minorHAnsi" w:hAnsiTheme="minorHAnsi"/>
          <w:szCs w:val="24"/>
        </w:rPr>
        <w:t>etc</w:t>
      </w:r>
      <w:r w:rsidR="000156DC" w:rsidRPr="002C46A8">
        <w:rPr>
          <w:rFonts w:asciiTheme="minorHAnsi" w:hAnsiTheme="minorHAnsi"/>
          <w:szCs w:val="24"/>
        </w:rPr>
        <w:t xml:space="preserve">.) </w:t>
      </w:r>
    </w:p>
    <w:p w14:paraId="60B6BA6A" w14:textId="77777777" w:rsidR="00F6433F" w:rsidRPr="002C46A8" w:rsidRDefault="00F6433F" w:rsidP="00F6433F">
      <w:pPr>
        <w:spacing w:after="0" w:line="240" w:lineRule="auto"/>
        <w:ind w:left="720"/>
        <w:contextualSpacing/>
        <w:rPr>
          <w:rFonts w:asciiTheme="minorHAnsi" w:hAnsiTheme="minorHAnsi"/>
          <w:szCs w:val="24"/>
        </w:rPr>
      </w:pPr>
    </w:p>
    <w:p w14:paraId="5D1A638D" w14:textId="72135977" w:rsidR="00625E15" w:rsidRDefault="00F6433F" w:rsidP="00625E15">
      <w:pPr>
        <w:spacing w:after="0" w:line="240" w:lineRule="auto"/>
        <w:rPr>
          <w:rFonts w:asciiTheme="minorHAnsi" w:hAnsiTheme="minorHAnsi"/>
          <w:szCs w:val="24"/>
        </w:rPr>
      </w:pPr>
      <w:r w:rsidRPr="00B65D9C">
        <w:rPr>
          <w:rFonts w:asciiTheme="minorHAnsi" w:hAnsiTheme="minorHAnsi"/>
          <w:b/>
          <w:szCs w:val="24"/>
          <w:u w:val="single"/>
        </w:rPr>
        <w:t xml:space="preserve">Inter-Unit and Intra-Unit Allocations should only be used with the Unrestricted Operating and Designated Operating Fund </w:t>
      </w:r>
      <w:r w:rsidR="00B423E6">
        <w:rPr>
          <w:rFonts w:asciiTheme="minorHAnsi" w:hAnsiTheme="minorHAnsi"/>
          <w:b/>
          <w:szCs w:val="24"/>
          <w:u w:val="single"/>
        </w:rPr>
        <w:t>Classes</w:t>
      </w:r>
      <w:r w:rsidR="005629FA" w:rsidRPr="00B65D9C">
        <w:rPr>
          <w:rFonts w:asciiTheme="minorHAnsi" w:hAnsiTheme="minorHAnsi"/>
          <w:b/>
          <w:szCs w:val="24"/>
          <w:u w:val="single"/>
        </w:rPr>
        <w:t>;</w:t>
      </w:r>
      <w:r w:rsidR="005629FA">
        <w:rPr>
          <w:rFonts w:asciiTheme="minorHAnsi" w:hAnsiTheme="minorHAnsi"/>
          <w:szCs w:val="24"/>
        </w:rPr>
        <w:t xml:space="preserve"> these </w:t>
      </w:r>
      <w:r w:rsidR="005629FA" w:rsidRPr="002C46A8">
        <w:rPr>
          <w:rFonts w:asciiTheme="minorHAnsi" w:hAnsiTheme="minorHAnsi"/>
          <w:szCs w:val="24"/>
        </w:rPr>
        <w:t>tr</w:t>
      </w:r>
      <w:r w:rsidR="005629FA">
        <w:rPr>
          <w:rFonts w:asciiTheme="minorHAnsi" w:hAnsiTheme="minorHAnsi"/>
          <w:szCs w:val="24"/>
        </w:rPr>
        <w:t>ansfers</w:t>
      </w:r>
      <w:r w:rsidR="00B423E6">
        <w:rPr>
          <w:rFonts w:asciiTheme="minorHAnsi" w:hAnsiTheme="minorHAnsi"/>
          <w:szCs w:val="24"/>
        </w:rPr>
        <w:t xml:space="preserve"> </w:t>
      </w:r>
      <w:r w:rsidR="0011110B" w:rsidRPr="0060291C">
        <w:rPr>
          <w:rFonts w:asciiTheme="minorHAnsi" w:hAnsiTheme="minorHAnsi"/>
          <w:szCs w:val="24"/>
        </w:rPr>
        <w:t xml:space="preserve">should be used between fund classes: Unrestricted (FC105) to Unrestricted (FC105), Designated (FC200) to Designated (FC200) or crossover fund classes between (Unrestricted (FC105) to Designated (FC200) and vice versa as  </w:t>
      </w:r>
      <w:r w:rsidR="0011110B">
        <w:rPr>
          <w:rFonts w:asciiTheme="minorHAnsi" w:hAnsiTheme="minorHAnsi"/>
          <w:szCs w:val="24"/>
        </w:rPr>
        <w:t xml:space="preserve"> needed. </w:t>
      </w:r>
      <w:r w:rsidR="00625E15">
        <w:rPr>
          <w:rFonts w:asciiTheme="minorHAnsi" w:hAnsiTheme="minorHAnsi"/>
          <w:szCs w:val="24"/>
        </w:rPr>
        <w:t xml:space="preserve">They are </w:t>
      </w:r>
      <w:r w:rsidR="00625E15" w:rsidRPr="00625E15">
        <w:rPr>
          <w:rFonts w:asciiTheme="minorHAnsi" w:hAnsiTheme="minorHAnsi"/>
          <w:b/>
          <w:szCs w:val="24"/>
        </w:rPr>
        <w:t>NOT</w:t>
      </w:r>
      <w:r w:rsidR="00625E15">
        <w:rPr>
          <w:rFonts w:asciiTheme="minorHAnsi" w:hAnsiTheme="minorHAnsi"/>
          <w:szCs w:val="24"/>
        </w:rPr>
        <w:t xml:space="preserve"> to be used for foundation held funds or grants.  </w:t>
      </w:r>
    </w:p>
    <w:p w14:paraId="5869F967" w14:textId="77777777" w:rsidR="005629FA" w:rsidRPr="002C46A8" w:rsidRDefault="005629FA" w:rsidP="00F6433F">
      <w:pPr>
        <w:spacing w:after="0" w:line="240" w:lineRule="auto"/>
        <w:rPr>
          <w:rFonts w:asciiTheme="minorHAnsi" w:hAnsiTheme="minorHAnsi"/>
          <w:szCs w:val="24"/>
          <w:u w:val="single"/>
        </w:rPr>
      </w:pPr>
    </w:p>
    <w:p w14:paraId="7491D4CF" w14:textId="77777777"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 xml:space="preserve">76201 Inter Unit/Center Allocations </w:t>
      </w:r>
      <w:r w:rsidR="000156DC" w:rsidRPr="002C46A8">
        <w:rPr>
          <w:rFonts w:asciiTheme="minorHAnsi" w:hAnsiTheme="minorHAnsi"/>
          <w:szCs w:val="24"/>
        </w:rPr>
        <w:t xml:space="preserve"> </w:t>
      </w:r>
    </w:p>
    <w:p w14:paraId="199DF4B9" w14:textId="6D47020D" w:rsidR="00F6433F" w:rsidRPr="002C46A8" w:rsidRDefault="00F6433F" w:rsidP="00F6433F">
      <w:pPr>
        <w:numPr>
          <w:ilvl w:val="0"/>
          <w:numId w:val="5"/>
        </w:numPr>
        <w:spacing w:after="0" w:line="240" w:lineRule="auto"/>
        <w:contextualSpacing/>
        <w:rPr>
          <w:rFonts w:asciiTheme="minorHAnsi" w:hAnsiTheme="minorHAnsi"/>
          <w:szCs w:val="24"/>
        </w:rPr>
      </w:pPr>
      <w:r w:rsidRPr="002C46A8">
        <w:rPr>
          <w:rFonts w:asciiTheme="minorHAnsi" w:hAnsiTheme="minorHAnsi"/>
          <w:szCs w:val="24"/>
        </w:rPr>
        <w:t>Inter-Unit Allocations should be used to</w:t>
      </w:r>
      <w:r w:rsidR="00D01BB1" w:rsidRPr="002C46A8">
        <w:rPr>
          <w:rFonts w:asciiTheme="minorHAnsi" w:hAnsiTheme="minorHAnsi"/>
          <w:szCs w:val="24"/>
        </w:rPr>
        <w:t xml:space="preserve"> allocate actual funds from one </w:t>
      </w:r>
      <w:r w:rsidRPr="002C46A8">
        <w:rPr>
          <w:rFonts w:asciiTheme="minorHAnsi" w:hAnsiTheme="minorHAnsi"/>
          <w:szCs w:val="24"/>
        </w:rPr>
        <w:t>division</w:t>
      </w:r>
      <w:r w:rsidR="0011110B">
        <w:rPr>
          <w:rFonts w:asciiTheme="minorHAnsi" w:hAnsiTheme="minorHAnsi"/>
          <w:szCs w:val="24"/>
        </w:rPr>
        <w:t>/college</w:t>
      </w:r>
      <w:r w:rsidRPr="002C46A8">
        <w:rPr>
          <w:rFonts w:asciiTheme="minorHAnsi" w:hAnsiTheme="minorHAnsi"/>
          <w:szCs w:val="24"/>
        </w:rPr>
        <w:t xml:space="preserve"> to another</w:t>
      </w:r>
      <w:r w:rsidR="0011110B">
        <w:rPr>
          <w:rFonts w:asciiTheme="minorHAnsi" w:hAnsiTheme="minorHAnsi"/>
          <w:szCs w:val="24"/>
        </w:rPr>
        <w:t xml:space="preserve"> </w:t>
      </w:r>
      <w:r w:rsidRPr="002C46A8">
        <w:rPr>
          <w:rFonts w:asciiTheme="minorHAnsi" w:hAnsiTheme="minorHAnsi"/>
          <w:szCs w:val="24"/>
        </w:rPr>
        <w:t>(i.e., College of Arts &amp; Science, College of Business</w:t>
      </w:r>
      <w:r w:rsidR="0011110B">
        <w:rPr>
          <w:rFonts w:asciiTheme="minorHAnsi" w:hAnsiTheme="minorHAnsi"/>
          <w:szCs w:val="24"/>
        </w:rPr>
        <w:t>,</w:t>
      </w:r>
      <w:r w:rsidRPr="002C46A8">
        <w:rPr>
          <w:rFonts w:asciiTheme="minorHAnsi" w:hAnsiTheme="minorHAnsi"/>
          <w:szCs w:val="24"/>
        </w:rPr>
        <w:t xml:space="preserve"> Research &amp; Economic Development, Student Affairs, Academic Affairs, etc.).</w:t>
      </w:r>
    </w:p>
    <w:p w14:paraId="5BC229DB" w14:textId="5B9FF60E" w:rsidR="00F6433F" w:rsidRPr="002C46A8" w:rsidRDefault="00F6433F" w:rsidP="00F6433F">
      <w:pPr>
        <w:spacing w:after="0" w:line="240" w:lineRule="auto"/>
        <w:rPr>
          <w:rFonts w:asciiTheme="minorHAnsi" w:hAnsiTheme="minorHAnsi"/>
          <w:szCs w:val="24"/>
        </w:rPr>
      </w:pPr>
      <w:r w:rsidRPr="002C46A8">
        <w:rPr>
          <w:rFonts w:asciiTheme="minorHAnsi" w:hAnsiTheme="minorHAnsi"/>
          <w:szCs w:val="24"/>
        </w:rPr>
        <w:t xml:space="preserve">76401 Intra College Allocations </w:t>
      </w:r>
      <w:r w:rsidR="0011110B">
        <w:rPr>
          <w:rFonts w:asciiTheme="minorHAnsi" w:hAnsiTheme="minorHAnsi"/>
          <w:szCs w:val="24"/>
        </w:rPr>
        <w:t xml:space="preserve"> </w:t>
      </w:r>
    </w:p>
    <w:p w14:paraId="42CCAFCB" w14:textId="470A4584" w:rsidR="00F6433F" w:rsidRPr="002C46A8" w:rsidRDefault="00F6433F" w:rsidP="00F6433F">
      <w:pPr>
        <w:numPr>
          <w:ilvl w:val="0"/>
          <w:numId w:val="5"/>
        </w:numPr>
        <w:spacing w:after="0" w:line="240" w:lineRule="auto"/>
        <w:contextualSpacing/>
        <w:rPr>
          <w:rFonts w:asciiTheme="minorHAnsi" w:hAnsiTheme="minorHAnsi"/>
          <w:szCs w:val="24"/>
        </w:rPr>
      </w:pPr>
      <w:r w:rsidRPr="002C46A8">
        <w:rPr>
          <w:rFonts w:asciiTheme="minorHAnsi" w:hAnsiTheme="minorHAnsi"/>
          <w:szCs w:val="24"/>
        </w:rPr>
        <w:t xml:space="preserve">Intra-Unit Allocations should be used to allocate actual funds from one organization to another within the SAME </w:t>
      </w:r>
      <w:r w:rsidR="000156DC" w:rsidRPr="002C46A8">
        <w:rPr>
          <w:rFonts w:asciiTheme="minorHAnsi" w:hAnsiTheme="minorHAnsi"/>
          <w:szCs w:val="24"/>
        </w:rPr>
        <w:t>Subdivision</w:t>
      </w:r>
      <w:r w:rsidRPr="002C46A8">
        <w:rPr>
          <w:rFonts w:asciiTheme="minorHAnsi" w:hAnsiTheme="minorHAnsi"/>
          <w:szCs w:val="24"/>
        </w:rPr>
        <w:t xml:space="preserve"> (i.e., </w:t>
      </w:r>
      <w:r w:rsidR="0011110B">
        <w:rPr>
          <w:rFonts w:asciiTheme="minorHAnsi" w:hAnsiTheme="minorHAnsi"/>
          <w:szCs w:val="24"/>
        </w:rPr>
        <w:t>History</w:t>
      </w:r>
      <w:r w:rsidRPr="002C46A8">
        <w:rPr>
          <w:rFonts w:asciiTheme="minorHAnsi" w:hAnsiTheme="minorHAnsi"/>
          <w:szCs w:val="24"/>
        </w:rPr>
        <w:t xml:space="preserve"> and A&amp;S Dean’s Office are organizations within the College of Arts &amp; Science </w:t>
      </w:r>
      <w:r w:rsidR="0011110B">
        <w:rPr>
          <w:rFonts w:asciiTheme="minorHAnsi" w:hAnsiTheme="minorHAnsi"/>
          <w:szCs w:val="24"/>
        </w:rPr>
        <w:t>subdivision</w:t>
      </w:r>
      <w:r w:rsidRPr="002C46A8">
        <w:rPr>
          <w:rFonts w:asciiTheme="minorHAnsi" w:hAnsiTheme="minorHAnsi"/>
          <w:szCs w:val="24"/>
        </w:rPr>
        <w:t>).</w:t>
      </w:r>
    </w:p>
    <w:p w14:paraId="4180D48A" w14:textId="77777777" w:rsidR="00F6433F" w:rsidRPr="002C46A8" w:rsidRDefault="00F6433F" w:rsidP="00F6433F">
      <w:pPr>
        <w:spacing w:after="0" w:line="240" w:lineRule="auto"/>
        <w:rPr>
          <w:rFonts w:asciiTheme="minorHAnsi" w:hAnsiTheme="minorHAnsi"/>
          <w:szCs w:val="24"/>
        </w:rPr>
      </w:pPr>
    </w:p>
    <w:p w14:paraId="06668B27" w14:textId="77777777" w:rsidR="005629FA" w:rsidRDefault="005629FA" w:rsidP="00F6433F">
      <w:pPr>
        <w:spacing w:after="0" w:line="240" w:lineRule="auto"/>
        <w:rPr>
          <w:rFonts w:asciiTheme="minorHAnsi" w:hAnsiTheme="minorHAnsi"/>
          <w:szCs w:val="24"/>
          <w:u w:val="single"/>
        </w:rPr>
      </w:pPr>
    </w:p>
    <w:p w14:paraId="26F5028E" w14:textId="77777777" w:rsidR="005629FA" w:rsidRDefault="005629FA" w:rsidP="00F6433F">
      <w:pPr>
        <w:spacing w:after="0" w:line="240" w:lineRule="auto"/>
        <w:rPr>
          <w:rFonts w:asciiTheme="minorHAnsi" w:hAnsiTheme="minorHAnsi"/>
          <w:szCs w:val="24"/>
          <w:u w:val="single"/>
        </w:rPr>
      </w:pPr>
    </w:p>
    <w:p w14:paraId="206FBB95" w14:textId="77777777" w:rsidR="00F6433F" w:rsidRPr="00CA2A64" w:rsidRDefault="00F6433F" w:rsidP="00F6433F">
      <w:pPr>
        <w:spacing w:after="0" w:line="240" w:lineRule="auto"/>
        <w:rPr>
          <w:rFonts w:asciiTheme="minorHAnsi" w:hAnsiTheme="minorHAnsi"/>
          <w:b/>
          <w:szCs w:val="24"/>
          <w:u w:val="single"/>
        </w:rPr>
      </w:pPr>
      <w:r w:rsidRPr="00CA2A64">
        <w:rPr>
          <w:rFonts w:asciiTheme="minorHAnsi" w:hAnsiTheme="minorHAnsi"/>
          <w:b/>
          <w:szCs w:val="24"/>
          <w:u w:val="single"/>
        </w:rPr>
        <w:lastRenderedPageBreak/>
        <w:t xml:space="preserve">Provisions for Replacement &amp; Depreciation Grouping </w:t>
      </w:r>
    </w:p>
    <w:p w14:paraId="797C0D3B" w14:textId="77777777" w:rsidR="005629FA" w:rsidRPr="00CA2A64" w:rsidRDefault="005629FA" w:rsidP="00F6433F">
      <w:pPr>
        <w:spacing w:after="0" w:line="240" w:lineRule="auto"/>
        <w:rPr>
          <w:rFonts w:asciiTheme="minorHAnsi" w:hAnsiTheme="minorHAnsi"/>
          <w:szCs w:val="24"/>
          <w:u w:val="single"/>
        </w:rPr>
      </w:pPr>
    </w:p>
    <w:p w14:paraId="271482ED" w14:textId="77777777" w:rsidR="00F6433F" w:rsidRPr="00CA2A64" w:rsidRDefault="00F6433F" w:rsidP="00F6433F">
      <w:pPr>
        <w:spacing w:after="0" w:line="240" w:lineRule="auto"/>
        <w:rPr>
          <w:rFonts w:asciiTheme="minorHAnsi" w:hAnsiTheme="minorHAnsi"/>
          <w:szCs w:val="24"/>
        </w:rPr>
      </w:pPr>
      <w:r w:rsidRPr="00CA2A64">
        <w:rPr>
          <w:rFonts w:asciiTheme="minorHAnsi" w:hAnsiTheme="minorHAnsi"/>
          <w:szCs w:val="24"/>
        </w:rPr>
        <w:t>77001 Provisions for Facility Renewal</w:t>
      </w:r>
    </w:p>
    <w:p w14:paraId="58EF868D" w14:textId="66A1DF74" w:rsidR="00F6433F" w:rsidRPr="00CA2A64" w:rsidRDefault="00F6433F" w:rsidP="00F6433F">
      <w:pPr>
        <w:numPr>
          <w:ilvl w:val="0"/>
          <w:numId w:val="5"/>
        </w:numPr>
        <w:spacing w:after="0" w:line="240" w:lineRule="auto"/>
        <w:contextualSpacing/>
        <w:rPr>
          <w:rFonts w:asciiTheme="minorHAnsi" w:hAnsiTheme="minorHAnsi"/>
          <w:szCs w:val="24"/>
        </w:rPr>
      </w:pPr>
      <w:r w:rsidRPr="00CA2A64">
        <w:rPr>
          <w:rFonts w:asciiTheme="minorHAnsi" w:hAnsiTheme="minorHAnsi"/>
          <w:szCs w:val="24"/>
        </w:rPr>
        <w:t>Maintenance and improvement of facilities for the current purpose</w:t>
      </w:r>
      <w:r w:rsidR="00100B90" w:rsidRPr="00CA2A64">
        <w:rPr>
          <w:rFonts w:asciiTheme="minorHAnsi" w:hAnsiTheme="minorHAnsi"/>
          <w:szCs w:val="24"/>
        </w:rPr>
        <w:t xml:space="preserve"> </w:t>
      </w:r>
      <w:r w:rsidR="00BD20BB" w:rsidRPr="00CA2A64">
        <w:rPr>
          <w:rFonts w:asciiTheme="minorHAnsi" w:hAnsiTheme="minorHAnsi"/>
          <w:szCs w:val="24"/>
        </w:rPr>
        <w:t>(i.e., move funds from the unrestricted operating or designated operating funds to plant reserve</w:t>
      </w:r>
      <w:r w:rsidR="008F3BC7">
        <w:rPr>
          <w:rFonts w:asciiTheme="minorHAnsi" w:hAnsiTheme="minorHAnsi"/>
          <w:szCs w:val="24"/>
        </w:rPr>
        <w:t>s</w:t>
      </w:r>
      <w:r w:rsidR="0011110B">
        <w:rPr>
          <w:rFonts w:asciiTheme="minorHAnsi" w:hAnsiTheme="minorHAnsi"/>
          <w:szCs w:val="24"/>
        </w:rPr>
        <w:t xml:space="preserve"> for specified future use</w:t>
      </w:r>
      <w:r w:rsidR="00BD20BB" w:rsidRPr="00CA2A64">
        <w:rPr>
          <w:rFonts w:asciiTheme="minorHAnsi" w:hAnsiTheme="minorHAnsi"/>
          <w:szCs w:val="24"/>
        </w:rPr>
        <w:t xml:space="preserve">) </w:t>
      </w:r>
    </w:p>
    <w:p w14:paraId="7809C1DC" w14:textId="77777777" w:rsidR="00F6433F" w:rsidRPr="00CA2A64" w:rsidRDefault="00F6433F" w:rsidP="00F6433F">
      <w:pPr>
        <w:spacing w:after="0" w:line="240" w:lineRule="auto"/>
        <w:rPr>
          <w:rFonts w:asciiTheme="minorHAnsi" w:hAnsiTheme="minorHAnsi"/>
          <w:szCs w:val="24"/>
        </w:rPr>
      </w:pPr>
      <w:r w:rsidRPr="00CA2A64">
        <w:rPr>
          <w:rFonts w:asciiTheme="minorHAnsi" w:hAnsiTheme="minorHAnsi"/>
          <w:szCs w:val="24"/>
        </w:rPr>
        <w:t>77002 Provisions for Non facility Renewal (capital project)</w:t>
      </w:r>
    </w:p>
    <w:p w14:paraId="295F11AE" w14:textId="6B0658AE" w:rsidR="00F6433F" w:rsidRPr="00CA2A64" w:rsidRDefault="0011110B" w:rsidP="00F6433F">
      <w:pPr>
        <w:numPr>
          <w:ilvl w:val="0"/>
          <w:numId w:val="5"/>
        </w:numPr>
        <w:spacing w:after="0" w:line="240" w:lineRule="auto"/>
        <w:contextualSpacing/>
        <w:rPr>
          <w:rFonts w:asciiTheme="minorHAnsi" w:hAnsiTheme="minorHAnsi"/>
          <w:szCs w:val="24"/>
        </w:rPr>
      </w:pPr>
      <w:r>
        <w:rPr>
          <w:rFonts w:asciiTheme="minorHAnsi" w:hAnsiTheme="minorHAnsi"/>
          <w:szCs w:val="24"/>
        </w:rPr>
        <w:t>Maintenance and improvement of non-facilities or repurposing of existing assets</w:t>
      </w:r>
      <w:r w:rsidRPr="00CA2A64">
        <w:rPr>
          <w:rFonts w:asciiTheme="minorHAnsi" w:hAnsiTheme="minorHAnsi"/>
          <w:szCs w:val="24"/>
        </w:rPr>
        <w:t xml:space="preserve"> </w:t>
      </w:r>
      <w:r w:rsidR="00B65D9C" w:rsidRPr="00CA2A64">
        <w:rPr>
          <w:rFonts w:asciiTheme="minorHAnsi" w:hAnsiTheme="minorHAnsi"/>
          <w:szCs w:val="24"/>
        </w:rPr>
        <w:t>(i.e., move funds from the unrestricted operating or designated operating funds to plant reserve</w:t>
      </w:r>
      <w:r w:rsidR="008F3BC7">
        <w:rPr>
          <w:rFonts w:asciiTheme="minorHAnsi" w:hAnsiTheme="minorHAnsi"/>
          <w:szCs w:val="24"/>
        </w:rPr>
        <w:t>s</w:t>
      </w:r>
      <w:r>
        <w:rPr>
          <w:rFonts w:asciiTheme="minorHAnsi" w:hAnsiTheme="minorHAnsi"/>
          <w:szCs w:val="24"/>
        </w:rPr>
        <w:t xml:space="preserve"> for specified future use</w:t>
      </w:r>
      <w:r w:rsidR="00B65D9C" w:rsidRPr="00CA2A64">
        <w:rPr>
          <w:rFonts w:asciiTheme="minorHAnsi" w:hAnsiTheme="minorHAnsi"/>
          <w:szCs w:val="24"/>
        </w:rPr>
        <w:t>)</w:t>
      </w:r>
    </w:p>
    <w:p w14:paraId="3F360452" w14:textId="77777777" w:rsidR="00F6433F" w:rsidRPr="00CA2A64" w:rsidRDefault="00F6433F" w:rsidP="00F6433F">
      <w:pPr>
        <w:spacing w:after="0" w:line="240" w:lineRule="auto"/>
        <w:rPr>
          <w:rFonts w:asciiTheme="minorHAnsi" w:hAnsiTheme="minorHAnsi"/>
          <w:szCs w:val="24"/>
        </w:rPr>
      </w:pPr>
      <w:r w:rsidRPr="00CA2A64">
        <w:rPr>
          <w:rFonts w:asciiTheme="minorHAnsi" w:hAnsiTheme="minorHAnsi"/>
          <w:szCs w:val="24"/>
        </w:rPr>
        <w:t>77003 Transfers To/From Plant Fund Project Related</w:t>
      </w:r>
    </w:p>
    <w:p w14:paraId="616DA4A4" w14:textId="641E1AE6" w:rsidR="0011110B" w:rsidRPr="006F177D" w:rsidRDefault="0011110B" w:rsidP="0011110B">
      <w:pPr>
        <w:numPr>
          <w:ilvl w:val="0"/>
          <w:numId w:val="5"/>
        </w:numPr>
        <w:spacing w:after="0" w:line="240" w:lineRule="auto"/>
        <w:contextualSpacing/>
        <w:rPr>
          <w:rFonts w:asciiTheme="minorHAnsi" w:hAnsiTheme="minorHAnsi"/>
          <w:szCs w:val="24"/>
        </w:rPr>
      </w:pPr>
      <w:r>
        <w:rPr>
          <w:rFonts w:asciiTheme="minorHAnsi" w:hAnsiTheme="minorHAnsi"/>
          <w:szCs w:val="24"/>
        </w:rPr>
        <w:t xml:space="preserve">New capital equipment projects or repurposing of existing capital assets (i.e., move funds from the unrestricted operation or designated operating fund to plant reserve account for specified future use) </w:t>
      </w:r>
      <w:r w:rsidRPr="006F177D">
        <w:rPr>
          <w:rFonts w:asciiTheme="minorHAnsi" w:hAnsiTheme="minorHAnsi"/>
          <w:szCs w:val="24"/>
        </w:rPr>
        <w:t xml:space="preserve"> </w:t>
      </w:r>
      <w:r>
        <w:rPr>
          <w:rFonts w:asciiTheme="minorHAnsi" w:hAnsiTheme="minorHAnsi"/>
          <w:szCs w:val="24"/>
        </w:rPr>
        <w:t xml:space="preserve"> </w:t>
      </w:r>
    </w:p>
    <w:p w14:paraId="465216D9" w14:textId="77777777" w:rsidR="0011110B" w:rsidRPr="002C46A8" w:rsidRDefault="0011110B" w:rsidP="0011110B">
      <w:pPr>
        <w:spacing w:after="0" w:line="240" w:lineRule="auto"/>
        <w:rPr>
          <w:rFonts w:ascii="Arial" w:eastAsia="Times New Roman" w:hAnsi="Arial" w:cs="Arial"/>
          <w:szCs w:val="24"/>
        </w:rPr>
      </w:pPr>
    </w:p>
    <w:p w14:paraId="2D79A5CA" w14:textId="77777777" w:rsidR="00F6433F" w:rsidRPr="002C46A8" w:rsidRDefault="00F6433F" w:rsidP="00F6433F">
      <w:pPr>
        <w:spacing w:after="0" w:line="240" w:lineRule="auto"/>
        <w:rPr>
          <w:rFonts w:ascii="Arial" w:eastAsia="Times New Roman" w:hAnsi="Arial" w:cs="Arial"/>
          <w:szCs w:val="24"/>
        </w:rPr>
      </w:pPr>
    </w:p>
    <w:p w14:paraId="2EDA0B0E" w14:textId="215DCBF4" w:rsidR="005629FA" w:rsidRDefault="00F6433F" w:rsidP="00F6433F">
      <w:pPr>
        <w:spacing w:after="0" w:line="240" w:lineRule="auto"/>
        <w:rPr>
          <w:rFonts w:asciiTheme="minorHAnsi" w:hAnsiTheme="minorHAnsi"/>
          <w:szCs w:val="24"/>
        </w:rPr>
      </w:pPr>
      <w:r w:rsidRPr="00B65D9C">
        <w:rPr>
          <w:rFonts w:asciiTheme="minorHAnsi" w:hAnsiTheme="minorHAnsi"/>
          <w:b/>
          <w:szCs w:val="24"/>
          <w:u w:val="single"/>
        </w:rPr>
        <w:t>Transfers To/From Operations Grouping</w:t>
      </w:r>
      <w:r w:rsidR="005629FA" w:rsidRPr="00B65D9C">
        <w:rPr>
          <w:rFonts w:asciiTheme="minorHAnsi" w:hAnsiTheme="minorHAnsi"/>
          <w:b/>
          <w:szCs w:val="24"/>
          <w:u w:val="single"/>
        </w:rPr>
        <w:t>;</w:t>
      </w:r>
      <w:r w:rsidR="005629FA">
        <w:rPr>
          <w:rFonts w:asciiTheme="minorHAnsi" w:hAnsiTheme="minorHAnsi"/>
          <w:szCs w:val="24"/>
        </w:rPr>
        <w:t xml:space="preserve"> these </w:t>
      </w:r>
      <w:r w:rsidR="00416028">
        <w:rPr>
          <w:rFonts w:asciiTheme="minorHAnsi" w:hAnsiTheme="minorHAnsi"/>
          <w:szCs w:val="24"/>
        </w:rPr>
        <w:t xml:space="preserve">are </w:t>
      </w:r>
      <w:r w:rsidR="005629FA">
        <w:rPr>
          <w:rFonts w:asciiTheme="minorHAnsi" w:hAnsiTheme="minorHAnsi"/>
          <w:szCs w:val="24"/>
        </w:rPr>
        <w:t xml:space="preserve">transfers </w:t>
      </w:r>
      <w:proofErr w:type="gramStart"/>
      <w:r w:rsidR="005629FA">
        <w:rPr>
          <w:rFonts w:asciiTheme="minorHAnsi" w:hAnsiTheme="minorHAnsi"/>
          <w:szCs w:val="24"/>
        </w:rPr>
        <w:t>T</w:t>
      </w:r>
      <w:r w:rsidR="005629FA" w:rsidRPr="002C46A8">
        <w:rPr>
          <w:rFonts w:asciiTheme="minorHAnsi" w:hAnsiTheme="minorHAnsi"/>
          <w:szCs w:val="24"/>
        </w:rPr>
        <w:t>o</w:t>
      </w:r>
      <w:proofErr w:type="gramEnd"/>
      <w:r w:rsidR="005629FA" w:rsidRPr="002C46A8">
        <w:rPr>
          <w:rFonts w:asciiTheme="minorHAnsi" w:hAnsiTheme="minorHAnsi"/>
          <w:szCs w:val="24"/>
        </w:rPr>
        <w:t>/From Unrestricted Operating</w:t>
      </w:r>
      <w:r w:rsidR="0011110B">
        <w:rPr>
          <w:rFonts w:asciiTheme="minorHAnsi" w:hAnsiTheme="minorHAnsi"/>
          <w:szCs w:val="24"/>
        </w:rPr>
        <w:t xml:space="preserve"> (FC105)</w:t>
      </w:r>
      <w:r w:rsidR="0038368A">
        <w:rPr>
          <w:rFonts w:asciiTheme="minorHAnsi" w:hAnsiTheme="minorHAnsi"/>
          <w:szCs w:val="24"/>
        </w:rPr>
        <w:t xml:space="preserve">, </w:t>
      </w:r>
      <w:r w:rsidR="0038368A" w:rsidRPr="002C46A8">
        <w:rPr>
          <w:rFonts w:asciiTheme="minorHAnsi" w:hAnsiTheme="minorHAnsi"/>
          <w:szCs w:val="24"/>
        </w:rPr>
        <w:t>Designated</w:t>
      </w:r>
      <w:r w:rsidR="005629FA">
        <w:rPr>
          <w:rFonts w:asciiTheme="minorHAnsi" w:hAnsiTheme="minorHAnsi"/>
          <w:szCs w:val="24"/>
        </w:rPr>
        <w:t xml:space="preserve"> </w:t>
      </w:r>
      <w:r w:rsidR="005629FA" w:rsidRPr="002C46A8">
        <w:rPr>
          <w:rFonts w:asciiTheme="minorHAnsi" w:hAnsiTheme="minorHAnsi"/>
          <w:szCs w:val="24"/>
        </w:rPr>
        <w:t>Operating</w:t>
      </w:r>
      <w:r w:rsidR="0011110B">
        <w:rPr>
          <w:rFonts w:asciiTheme="minorHAnsi" w:hAnsiTheme="minorHAnsi"/>
          <w:szCs w:val="24"/>
        </w:rPr>
        <w:t xml:space="preserve"> (FC200), Plant Fund (FC</w:t>
      </w:r>
      <w:r w:rsidR="00761CFC">
        <w:rPr>
          <w:rFonts w:asciiTheme="minorHAnsi" w:hAnsiTheme="minorHAnsi"/>
          <w:szCs w:val="24"/>
        </w:rPr>
        <w:t>700, FC</w:t>
      </w:r>
      <w:r w:rsidR="0011110B">
        <w:rPr>
          <w:rFonts w:asciiTheme="minorHAnsi" w:hAnsiTheme="minorHAnsi"/>
          <w:szCs w:val="24"/>
        </w:rPr>
        <w:t>7xx)</w:t>
      </w:r>
      <w:r w:rsidR="0038368A">
        <w:rPr>
          <w:rFonts w:asciiTheme="minorHAnsi" w:hAnsiTheme="minorHAnsi"/>
          <w:szCs w:val="24"/>
        </w:rPr>
        <w:t xml:space="preserve"> and Unrestricted Operating Reserve</w:t>
      </w:r>
      <w:r w:rsidR="0011110B">
        <w:rPr>
          <w:rFonts w:asciiTheme="minorHAnsi" w:hAnsiTheme="minorHAnsi"/>
          <w:szCs w:val="24"/>
        </w:rPr>
        <w:t xml:space="preserve"> (FC110)</w:t>
      </w:r>
      <w:r w:rsidR="0038368A">
        <w:rPr>
          <w:rFonts w:asciiTheme="minorHAnsi" w:hAnsiTheme="minorHAnsi"/>
          <w:szCs w:val="24"/>
        </w:rPr>
        <w:t>.</w:t>
      </w:r>
      <w:r w:rsidR="00625E15">
        <w:rPr>
          <w:rFonts w:asciiTheme="minorHAnsi" w:hAnsiTheme="minorHAnsi"/>
          <w:szCs w:val="24"/>
        </w:rPr>
        <w:t xml:space="preserve"> They are </w:t>
      </w:r>
      <w:r w:rsidR="00625E15" w:rsidRPr="00625E15">
        <w:rPr>
          <w:rFonts w:asciiTheme="minorHAnsi" w:hAnsiTheme="minorHAnsi"/>
          <w:b/>
          <w:szCs w:val="24"/>
        </w:rPr>
        <w:t>NOT</w:t>
      </w:r>
      <w:r w:rsidR="00625E15">
        <w:rPr>
          <w:rFonts w:asciiTheme="minorHAnsi" w:hAnsiTheme="minorHAnsi"/>
          <w:szCs w:val="24"/>
        </w:rPr>
        <w:t xml:space="preserve"> to be used for foundation held funds or grants.  </w:t>
      </w:r>
    </w:p>
    <w:p w14:paraId="7DE6D54D" w14:textId="77777777" w:rsidR="005629FA" w:rsidRPr="002C46A8" w:rsidRDefault="005629FA" w:rsidP="00F6433F">
      <w:pPr>
        <w:spacing w:after="0" w:line="240" w:lineRule="auto"/>
        <w:rPr>
          <w:rFonts w:asciiTheme="minorHAnsi" w:hAnsiTheme="minorHAnsi"/>
          <w:szCs w:val="24"/>
          <w:u w:val="single"/>
        </w:rPr>
      </w:pPr>
    </w:p>
    <w:p w14:paraId="1B91D42D" w14:textId="77777777" w:rsidR="00F6433F" w:rsidRPr="00761CFC" w:rsidRDefault="00F6433F" w:rsidP="00F6433F">
      <w:pPr>
        <w:spacing w:after="0" w:line="240" w:lineRule="auto"/>
        <w:rPr>
          <w:rFonts w:asciiTheme="minorHAnsi" w:hAnsiTheme="minorHAnsi"/>
          <w:color w:val="000000" w:themeColor="text1"/>
          <w:szCs w:val="24"/>
        </w:rPr>
      </w:pPr>
      <w:r w:rsidRPr="00761CFC">
        <w:rPr>
          <w:rFonts w:asciiTheme="minorHAnsi" w:hAnsiTheme="minorHAnsi"/>
          <w:color w:val="000000" w:themeColor="text1"/>
          <w:szCs w:val="24"/>
        </w:rPr>
        <w:t>77401 Non mandatory Transfers To/From Operations Funds</w:t>
      </w:r>
      <w:r w:rsidR="00B65D9C" w:rsidRPr="00761CFC">
        <w:rPr>
          <w:rFonts w:asciiTheme="minorHAnsi" w:hAnsiTheme="minorHAnsi"/>
          <w:color w:val="000000" w:themeColor="text1"/>
          <w:szCs w:val="24"/>
        </w:rPr>
        <w:t xml:space="preserve">  </w:t>
      </w:r>
    </w:p>
    <w:p w14:paraId="452BF806" w14:textId="77777777" w:rsidR="0011110B" w:rsidRPr="00761CFC" w:rsidRDefault="0011110B" w:rsidP="0011110B">
      <w:pPr>
        <w:numPr>
          <w:ilvl w:val="0"/>
          <w:numId w:val="5"/>
        </w:numPr>
        <w:spacing w:after="0" w:line="240" w:lineRule="auto"/>
        <w:contextualSpacing/>
        <w:rPr>
          <w:rFonts w:asciiTheme="minorHAnsi" w:hAnsiTheme="minorHAnsi"/>
          <w:color w:val="000000" w:themeColor="text1"/>
          <w:szCs w:val="24"/>
        </w:rPr>
      </w:pPr>
      <w:r w:rsidRPr="00761CFC">
        <w:rPr>
          <w:rFonts w:asciiTheme="minorHAnsi" w:hAnsiTheme="minorHAnsi"/>
          <w:color w:val="000000" w:themeColor="text1"/>
          <w:szCs w:val="24"/>
        </w:rPr>
        <w:t>Non mandatory Transfer To/From Operations Funds should be used to allocate actual funds from one fund class to another, when a fund class other than FC105 and FC200 is involved, for capital projects see 77405.</w:t>
      </w:r>
    </w:p>
    <w:p w14:paraId="42D6CC68" w14:textId="77777777" w:rsidR="0011110B" w:rsidRPr="00761CFC" w:rsidRDefault="0011110B" w:rsidP="0011110B">
      <w:pPr>
        <w:spacing w:after="0" w:line="240" w:lineRule="auto"/>
        <w:contextualSpacing/>
        <w:rPr>
          <w:rFonts w:asciiTheme="minorHAnsi" w:hAnsiTheme="minorHAnsi"/>
          <w:color w:val="000000" w:themeColor="text1"/>
          <w:szCs w:val="24"/>
        </w:rPr>
      </w:pPr>
      <w:r w:rsidRPr="00761CFC">
        <w:rPr>
          <w:rFonts w:asciiTheme="minorHAnsi" w:hAnsiTheme="minorHAnsi"/>
          <w:color w:val="000000" w:themeColor="text1"/>
          <w:szCs w:val="24"/>
        </w:rPr>
        <w:t>77405 Transfer for Capital Projects funds</w:t>
      </w:r>
    </w:p>
    <w:p w14:paraId="456C7D89" w14:textId="77777777" w:rsidR="0011110B" w:rsidRDefault="0011110B" w:rsidP="0011110B">
      <w:pPr>
        <w:numPr>
          <w:ilvl w:val="0"/>
          <w:numId w:val="5"/>
        </w:numPr>
        <w:spacing w:after="0" w:line="240" w:lineRule="auto"/>
        <w:contextualSpacing/>
        <w:rPr>
          <w:rFonts w:asciiTheme="minorHAnsi" w:hAnsiTheme="minorHAnsi"/>
          <w:color w:val="000000" w:themeColor="text1"/>
          <w:szCs w:val="24"/>
        </w:rPr>
      </w:pPr>
      <w:r w:rsidRPr="00761CFC">
        <w:rPr>
          <w:rFonts w:asciiTheme="minorHAnsi" w:hAnsiTheme="minorHAnsi"/>
          <w:color w:val="000000" w:themeColor="text1"/>
          <w:szCs w:val="24"/>
        </w:rPr>
        <w:t xml:space="preserve">Actual new capital projects, associated with University Campus Operations (i.e., move funds from the unrestricted operating, designated operating, and foundation funds to plant fund (FC770, FC7xx) identified with PPM project ID. </w:t>
      </w:r>
    </w:p>
    <w:p w14:paraId="51971369" w14:textId="77777777" w:rsidR="00761CFC" w:rsidRDefault="00761CFC" w:rsidP="00761CFC">
      <w:pPr>
        <w:spacing w:after="0" w:line="240" w:lineRule="auto"/>
        <w:contextualSpacing/>
        <w:rPr>
          <w:rFonts w:asciiTheme="minorHAnsi" w:hAnsiTheme="minorHAnsi"/>
          <w:color w:val="000000" w:themeColor="text1"/>
          <w:szCs w:val="24"/>
        </w:rPr>
      </w:pPr>
    </w:p>
    <w:p w14:paraId="76ED7183" w14:textId="77777777" w:rsidR="00761CFC" w:rsidRDefault="00761CFC" w:rsidP="00761CFC">
      <w:pPr>
        <w:spacing w:after="0" w:line="240" w:lineRule="auto"/>
        <w:contextualSpacing/>
        <w:rPr>
          <w:rFonts w:asciiTheme="minorHAnsi" w:hAnsiTheme="minorHAnsi"/>
          <w:color w:val="000000" w:themeColor="text1"/>
          <w:szCs w:val="24"/>
        </w:rPr>
      </w:pPr>
    </w:p>
    <w:p w14:paraId="4709130C" w14:textId="77777777" w:rsidR="00761CFC" w:rsidRDefault="00761CFC" w:rsidP="00761CFC">
      <w:pPr>
        <w:spacing w:after="0" w:line="240" w:lineRule="auto"/>
        <w:contextualSpacing/>
        <w:rPr>
          <w:rFonts w:asciiTheme="minorHAnsi" w:hAnsiTheme="minorHAnsi"/>
          <w:color w:val="000000" w:themeColor="text1"/>
          <w:szCs w:val="24"/>
        </w:rPr>
      </w:pPr>
    </w:p>
    <w:p w14:paraId="446235FB" w14:textId="77777777" w:rsidR="00761CFC" w:rsidRDefault="00761CFC" w:rsidP="00761CFC">
      <w:pPr>
        <w:spacing w:after="0" w:line="240" w:lineRule="auto"/>
        <w:contextualSpacing/>
        <w:rPr>
          <w:rFonts w:asciiTheme="minorHAnsi" w:hAnsiTheme="minorHAnsi"/>
          <w:color w:val="000000" w:themeColor="text1"/>
          <w:szCs w:val="24"/>
        </w:rPr>
      </w:pPr>
    </w:p>
    <w:p w14:paraId="3785ED23" w14:textId="77777777" w:rsidR="00761CFC" w:rsidRDefault="00761CFC" w:rsidP="00761CFC">
      <w:pPr>
        <w:spacing w:after="0" w:line="240" w:lineRule="auto"/>
        <w:contextualSpacing/>
        <w:rPr>
          <w:rFonts w:asciiTheme="minorHAnsi" w:hAnsiTheme="minorHAnsi"/>
          <w:color w:val="000000" w:themeColor="text1"/>
          <w:szCs w:val="24"/>
        </w:rPr>
      </w:pPr>
    </w:p>
    <w:p w14:paraId="69DB17F9" w14:textId="77777777" w:rsidR="00761CFC" w:rsidRDefault="00761CFC" w:rsidP="00761CFC">
      <w:pPr>
        <w:spacing w:after="0" w:line="240" w:lineRule="auto"/>
        <w:contextualSpacing/>
        <w:rPr>
          <w:rFonts w:asciiTheme="minorHAnsi" w:hAnsiTheme="minorHAnsi"/>
          <w:color w:val="000000" w:themeColor="text1"/>
          <w:szCs w:val="24"/>
        </w:rPr>
      </w:pPr>
    </w:p>
    <w:p w14:paraId="789B3797" w14:textId="77777777" w:rsidR="00761CFC" w:rsidRDefault="00761CFC" w:rsidP="00761CFC">
      <w:pPr>
        <w:spacing w:after="0" w:line="240" w:lineRule="auto"/>
        <w:contextualSpacing/>
        <w:rPr>
          <w:rFonts w:asciiTheme="minorHAnsi" w:hAnsiTheme="minorHAnsi"/>
          <w:color w:val="000000" w:themeColor="text1"/>
          <w:szCs w:val="24"/>
        </w:rPr>
      </w:pPr>
    </w:p>
    <w:p w14:paraId="14934F70" w14:textId="77777777" w:rsidR="00761CFC" w:rsidRDefault="00761CFC" w:rsidP="00761CFC">
      <w:pPr>
        <w:spacing w:after="0" w:line="240" w:lineRule="auto"/>
        <w:contextualSpacing/>
        <w:rPr>
          <w:rFonts w:asciiTheme="minorHAnsi" w:hAnsiTheme="minorHAnsi"/>
          <w:color w:val="000000" w:themeColor="text1"/>
          <w:szCs w:val="24"/>
        </w:rPr>
      </w:pPr>
    </w:p>
    <w:p w14:paraId="2E5E393E" w14:textId="77777777" w:rsidR="00761CFC" w:rsidRDefault="00761CFC" w:rsidP="00761CFC">
      <w:pPr>
        <w:spacing w:after="0" w:line="240" w:lineRule="auto"/>
        <w:contextualSpacing/>
        <w:rPr>
          <w:rFonts w:asciiTheme="minorHAnsi" w:hAnsiTheme="minorHAnsi"/>
          <w:color w:val="000000" w:themeColor="text1"/>
          <w:szCs w:val="24"/>
        </w:rPr>
      </w:pPr>
    </w:p>
    <w:p w14:paraId="38FB2890" w14:textId="77777777" w:rsidR="00761CFC" w:rsidRDefault="00761CFC" w:rsidP="00761CFC">
      <w:pPr>
        <w:spacing w:after="0" w:line="240" w:lineRule="auto"/>
        <w:contextualSpacing/>
        <w:rPr>
          <w:rFonts w:asciiTheme="minorHAnsi" w:hAnsiTheme="minorHAnsi"/>
          <w:color w:val="000000" w:themeColor="text1"/>
          <w:szCs w:val="24"/>
        </w:rPr>
      </w:pPr>
    </w:p>
    <w:p w14:paraId="14D105C6" w14:textId="77777777" w:rsidR="00761CFC" w:rsidRDefault="00761CFC" w:rsidP="00761CFC">
      <w:pPr>
        <w:spacing w:after="0" w:line="240" w:lineRule="auto"/>
        <w:contextualSpacing/>
        <w:rPr>
          <w:rFonts w:asciiTheme="minorHAnsi" w:hAnsiTheme="minorHAnsi"/>
          <w:color w:val="000000" w:themeColor="text1"/>
          <w:szCs w:val="24"/>
        </w:rPr>
      </w:pPr>
    </w:p>
    <w:p w14:paraId="28F5859C" w14:textId="77777777" w:rsidR="00761CFC" w:rsidRDefault="00761CFC" w:rsidP="00761CFC">
      <w:pPr>
        <w:spacing w:after="0" w:line="240" w:lineRule="auto"/>
        <w:contextualSpacing/>
        <w:rPr>
          <w:rFonts w:asciiTheme="minorHAnsi" w:hAnsiTheme="minorHAnsi"/>
          <w:color w:val="000000" w:themeColor="text1"/>
          <w:szCs w:val="24"/>
        </w:rPr>
      </w:pPr>
    </w:p>
    <w:p w14:paraId="7A0DA99C" w14:textId="77777777" w:rsidR="00761CFC" w:rsidRDefault="00761CFC" w:rsidP="00761CFC">
      <w:pPr>
        <w:spacing w:after="0" w:line="240" w:lineRule="auto"/>
        <w:contextualSpacing/>
        <w:rPr>
          <w:rFonts w:asciiTheme="minorHAnsi" w:hAnsiTheme="minorHAnsi"/>
          <w:color w:val="000000" w:themeColor="text1"/>
          <w:szCs w:val="24"/>
        </w:rPr>
      </w:pPr>
    </w:p>
    <w:p w14:paraId="5EF5F630" w14:textId="77777777" w:rsidR="00761CFC" w:rsidRPr="00761CFC" w:rsidRDefault="00761CFC" w:rsidP="00761CFC">
      <w:pPr>
        <w:spacing w:after="0" w:line="240" w:lineRule="auto"/>
        <w:contextualSpacing/>
        <w:rPr>
          <w:rFonts w:asciiTheme="minorHAnsi" w:hAnsiTheme="minorHAnsi"/>
          <w:color w:val="000000" w:themeColor="text1"/>
          <w:szCs w:val="24"/>
        </w:rPr>
      </w:pPr>
    </w:p>
    <w:p w14:paraId="6DC989CA" w14:textId="77777777" w:rsidR="0011110B" w:rsidRPr="00761CFC" w:rsidRDefault="0011110B" w:rsidP="00F6433F">
      <w:pPr>
        <w:spacing w:after="0" w:line="240" w:lineRule="auto"/>
        <w:rPr>
          <w:rFonts w:ascii="Arial" w:eastAsia="Times New Roman" w:hAnsi="Arial" w:cs="Arial"/>
          <w:color w:val="000000" w:themeColor="text1"/>
          <w:szCs w:val="24"/>
        </w:rPr>
      </w:pPr>
    </w:p>
    <w:p w14:paraId="448576B9" w14:textId="77777777" w:rsidR="00F6433F" w:rsidRPr="002C46A8" w:rsidRDefault="00466A7A" w:rsidP="00F6433F">
      <w:pPr>
        <w:spacing w:after="0" w:line="240" w:lineRule="auto"/>
        <w:rPr>
          <w:rFonts w:ascii="Arial" w:eastAsia="Times New Roman" w:hAnsi="Arial" w:cs="Arial"/>
          <w:szCs w:val="24"/>
        </w:rPr>
      </w:pPr>
      <w:r>
        <w:rPr>
          <w:rFonts w:ascii="Arial" w:eastAsia="Times New Roman" w:hAnsi="Arial" w:cs="Arial"/>
          <w:szCs w:val="24"/>
        </w:rPr>
        <w:t xml:space="preserve"> </w:t>
      </w:r>
    </w:p>
    <w:p w14:paraId="4F286FC6" w14:textId="77777777" w:rsidR="00F6433F" w:rsidRPr="00CA2A64" w:rsidRDefault="00F6433F" w:rsidP="00F6433F">
      <w:pPr>
        <w:spacing w:after="0" w:line="240" w:lineRule="auto"/>
        <w:rPr>
          <w:rFonts w:ascii="Arial" w:eastAsia="Times New Roman" w:hAnsi="Arial" w:cs="Arial"/>
          <w:b/>
          <w:color w:val="FF0000"/>
          <w:szCs w:val="24"/>
        </w:rPr>
      </w:pPr>
      <w:r w:rsidRPr="002C46A8">
        <w:rPr>
          <w:rFonts w:ascii="Arial" w:eastAsia="Times New Roman" w:hAnsi="Arial" w:cs="Arial"/>
          <w:b/>
          <w:szCs w:val="24"/>
          <w:u w:val="single"/>
        </w:rPr>
        <w:lastRenderedPageBreak/>
        <w:t xml:space="preserve">Procedures </w:t>
      </w:r>
      <w:r w:rsidR="00CA2A64">
        <w:rPr>
          <w:rFonts w:ascii="Arial" w:eastAsia="Times New Roman" w:hAnsi="Arial" w:cs="Arial"/>
          <w:b/>
          <w:szCs w:val="24"/>
          <w:u w:val="single"/>
        </w:rPr>
        <w:t xml:space="preserve">  </w:t>
      </w:r>
    </w:p>
    <w:p w14:paraId="5D54CD3A" w14:textId="77777777" w:rsidR="00F6433F" w:rsidRPr="002C46A8" w:rsidRDefault="00F6433F" w:rsidP="00F6433F">
      <w:pPr>
        <w:spacing w:after="0" w:line="240" w:lineRule="auto"/>
        <w:rPr>
          <w:rFonts w:ascii="Arial" w:eastAsia="Times New Roman" w:hAnsi="Arial" w:cs="Arial"/>
          <w:szCs w:val="24"/>
        </w:rPr>
      </w:pPr>
    </w:p>
    <w:p w14:paraId="19522328" w14:textId="76160D20" w:rsidR="00F6433F" w:rsidRPr="00F6433F" w:rsidRDefault="009F7F58" w:rsidP="00F6433F">
      <w:pPr>
        <w:spacing w:after="0" w:line="240" w:lineRule="auto"/>
        <w:rPr>
          <w:rFonts w:ascii="Arial" w:eastAsia="Times New Roman" w:hAnsi="Arial" w:cs="Arial"/>
          <w:sz w:val="20"/>
          <w:szCs w:val="20"/>
        </w:rPr>
      </w:pPr>
      <w:r>
        <w:rPr>
          <w:rFonts w:ascii="Arial" w:eastAsia="Times New Roman" w:hAnsi="Arial" w:cs="Arial"/>
          <w:szCs w:val="24"/>
        </w:rPr>
        <w:t xml:space="preserve">1. </w:t>
      </w:r>
      <w:r w:rsidR="00F6433F" w:rsidRPr="002C46A8">
        <w:rPr>
          <w:rFonts w:ascii="Arial" w:eastAsia="Times New Roman" w:hAnsi="Arial" w:cs="Arial"/>
          <w:szCs w:val="24"/>
        </w:rPr>
        <w:t xml:space="preserve">Stakeholders will submit the transfer request form located </w:t>
      </w:r>
      <w:r w:rsidR="00761CFC" w:rsidRPr="002C46A8">
        <w:rPr>
          <w:rFonts w:ascii="Arial" w:eastAsia="Times New Roman" w:hAnsi="Arial" w:cs="Arial"/>
          <w:szCs w:val="24"/>
        </w:rPr>
        <w:t>on the Budget</w:t>
      </w:r>
      <w:r w:rsidR="00F6433F" w:rsidRPr="002C46A8">
        <w:rPr>
          <w:rFonts w:ascii="Arial" w:eastAsia="Times New Roman" w:hAnsi="Arial" w:cs="Arial"/>
          <w:szCs w:val="24"/>
        </w:rPr>
        <w:t xml:space="preserve"> Office Website (see below sample) </w:t>
      </w:r>
      <w:r>
        <w:rPr>
          <w:rFonts w:ascii="Arial" w:eastAsia="Times New Roman" w:hAnsi="Arial" w:cs="Arial"/>
          <w:szCs w:val="24"/>
        </w:rPr>
        <w:t>to the Budget Office via email.</w:t>
      </w:r>
    </w:p>
    <w:p w14:paraId="7F1B7D62" w14:textId="77777777" w:rsidR="00F6433F" w:rsidRPr="00CA2A64" w:rsidRDefault="00F6433F" w:rsidP="00F6433F">
      <w:pPr>
        <w:spacing w:after="0" w:line="240" w:lineRule="auto"/>
        <w:rPr>
          <w:rFonts w:ascii="Arial" w:eastAsia="Times New Roman" w:hAnsi="Arial" w:cs="Arial"/>
          <w:color w:val="FF0000"/>
          <w:sz w:val="20"/>
          <w:szCs w:val="20"/>
        </w:rPr>
      </w:pPr>
    </w:p>
    <w:p w14:paraId="5CA62038" w14:textId="77777777" w:rsidR="00C63405" w:rsidRDefault="00C63405" w:rsidP="002222CA">
      <w:pPr>
        <w:tabs>
          <w:tab w:val="left" w:pos="1800"/>
        </w:tabs>
        <w:spacing w:after="120" w:line="240" w:lineRule="auto"/>
        <w:rPr>
          <w:rFonts w:cs="Times New Roman"/>
          <w:szCs w:val="24"/>
        </w:rPr>
      </w:pPr>
    </w:p>
    <w:p w14:paraId="6C2EFBDA" w14:textId="77777777" w:rsidR="005A3E50" w:rsidRDefault="009F7F58" w:rsidP="002222CA">
      <w:pPr>
        <w:tabs>
          <w:tab w:val="left" w:pos="1800"/>
        </w:tabs>
        <w:spacing w:after="120" w:line="240" w:lineRule="auto"/>
        <w:rPr>
          <w:rFonts w:cs="Times New Roman"/>
          <w:szCs w:val="24"/>
        </w:rPr>
      </w:pPr>
      <w:r w:rsidRPr="009F7F58">
        <w:rPr>
          <w:noProof/>
        </w:rPr>
        <w:drawing>
          <wp:inline distT="0" distB="0" distL="0" distR="0" wp14:anchorId="67A449F2" wp14:editId="24B5B69C">
            <wp:extent cx="5943600" cy="31984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98463"/>
                    </a:xfrm>
                    <a:prstGeom prst="rect">
                      <a:avLst/>
                    </a:prstGeom>
                    <a:noFill/>
                    <a:ln>
                      <a:noFill/>
                    </a:ln>
                  </pic:spPr>
                </pic:pic>
              </a:graphicData>
            </a:graphic>
          </wp:inline>
        </w:drawing>
      </w:r>
    </w:p>
    <w:p w14:paraId="6180CF88" w14:textId="77777777" w:rsidR="00C63405" w:rsidRDefault="00C63405" w:rsidP="005A3E50">
      <w:pPr>
        <w:tabs>
          <w:tab w:val="left" w:pos="1800"/>
        </w:tabs>
        <w:spacing w:after="120" w:line="240" w:lineRule="auto"/>
        <w:rPr>
          <w:rFonts w:cs="Times New Roman"/>
          <w:szCs w:val="24"/>
        </w:rPr>
      </w:pPr>
    </w:p>
    <w:p w14:paraId="25A67FA1" w14:textId="2EFBBFFC" w:rsidR="009F7F58" w:rsidRPr="00C30ED7" w:rsidRDefault="009F7F58" w:rsidP="00C63405">
      <w:pPr>
        <w:tabs>
          <w:tab w:val="left" w:pos="1800"/>
        </w:tabs>
        <w:spacing w:after="120" w:line="240" w:lineRule="auto"/>
        <w:rPr>
          <w:rFonts w:cs="Times New Roman"/>
          <w:szCs w:val="24"/>
        </w:rPr>
      </w:pPr>
      <w:r>
        <w:rPr>
          <w:rFonts w:cs="Times New Roman"/>
          <w:szCs w:val="24"/>
        </w:rPr>
        <w:t xml:space="preserve">2. Once </w:t>
      </w:r>
      <w:r w:rsidR="00761CFC">
        <w:rPr>
          <w:rFonts w:cs="Times New Roman"/>
          <w:szCs w:val="24"/>
        </w:rPr>
        <w:t>the Budget</w:t>
      </w:r>
      <w:r>
        <w:rPr>
          <w:rFonts w:cs="Times New Roman"/>
          <w:szCs w:val="24"/>
        </w:rPr>
        <w:t xml:space="preserve"> Office approves the transfer request, it will be forwarded to </w:t>
      </w:r>
      <w:r w:rsidR="00761CFC">
        <w:rPr>
          <w:rFonts w:cs="Times New Roman"/>
          <w:szCs w:val="24"/>
        </w:rPr>
        <w:t>the Accounting</w:t>
      </w:r>
      <w:r>
        <w:rPr>
          <w:rFonts w:cs="Times New Roman"/>
          <w:szCs w:val="24"/>
        </w:rPr>
        <w:t xml:space="preserve"> Office for </w:t>
      </w:r>
      <w:r w:rsidR="008F3BC7">
        <w:rPr>
          <w:rFonts w:cs="Times New Roman"/>
          <w:szCs w:val="24"/>
        </w:rPr>
        <w:t>processing</w:t>
      </w:r>
      <w:r>
        <w:rPr>
          <w:rFonts w:cs="Times New Roman"/>
          <w:szCs w:val="24"/>
        </w:rPr>
        <w:t xml:space="preserve">. </w:t>
      </w:r>
      <w:r w:rsidR="005654E3">
        <w:rPr>
          <w:rFonts w:cs="Times New Roman"/>
          <w:szCs w:val="24"/>
        </w:rPr>
        <w:t xml:space="preserve"> </w:t>
      </w:r>
    </w:p>
    <w:sectPr w:rsidR="009F7F58" w:rsidRPr="00C30E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8651" w14:textId="77777777" w:rsidR="006F387D" w:rsidRDefault="006F387D" w:rsidP="004D6169">
      <w:pPr>
        <w:spacing w:after="0" w:line="240" w:lineRule="auto"/>
      </w:pPr>
      <w:r>
        <w:separator/>
      </w:r>
    </w:p>
  </w:endnote>
  <w:endnote w:type="continuationSeparator" w:id="0">
    <w:p w14:paraId="394E3737" w14:textId="77777777" w:rsidR="006F387D" w:rsidRDefault="006F387D" w:rsidP="004D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9451"/>
      <w:docPartObj>
        <w:docPartGallery w:val="Page Numbers (Bottom of Page)"/>
        <w:docPartUnique/>
      </w:docPartObj>
    </w:sdtPr>
    <w:sdtEndPr>
      <w:rPr>
        <w:noProof/>
        <w:sz w:val="22"/>
      </w:rPr>
    </w:sdtEndPr>
    <w:sdtContent>
      <w:p w14:paraId="4B58100E" w14:textId="77777777" w:rsidR="00475865" w:rsidRPr="00475865" w:rsidRDefault="00475865">
        <w:pPr>
          <w:pStyle w:val="Footer"/>
          <w:jc w:val="center"/>
          <w:rPr>
            <w:sz w:val="22"/>
          </w:rPr>
        </w:pPr>
        <w:r w:rsidRPr="00475865">
          <w:rPr>
            <w:sz w:val="22"/>
          </w:rPr>
          <w:fldChar w:fldCharType="begin"/>
        </w:r>
        <w:r w:rsidRPr="00475865">
          <w:rPr>
            <w:sz w:val="22"/>
          </w:rPr>
          <w:instrText xml:space="preserve"> PAGE   \* MERGEFORMAT </w:instrText>
        </w:r>
        <w:r w:rsidRPr="00475865">
          <w:rPr>
            <w:sz w:val="22"/>
          </w:rPr>
          <w:fldChar w:fldCharType="separate"/>
        </w:r>
        <w:r w:rsidR="000D3089">
          <w:rPr>
            <w:noProof/>
            <w:sz w:val="22"/>
          </w:rPr>
          <w:t>1</w:t>
        </w:r>
        <w:r w:rsidRPr="00475865">
          <w:rPr>
            <w:noProof/>
            <w:sz w:val="22"/>
          </w:rPr>
          <w:fldChar w:fldCharType="end"/>
        </w:r>
      </w:p>
    </w:sdtContent>
  </w:sdt>
  <w:p w14:paraId="0C6CCBEB" w14:textId="77777777" w:rsidR="00475865" w:rsidRDefault="0047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72C6" w14:textId="77777777" w:rsidR="006F387D" w:rsidRDefault="006F387D" w:rsidP="004D6169">
      <w:pPr>
        <w:spacing w:after="0" w:line="240" w:lineRule="auto"/>
      </w:pPr>
      <w:r>
        <w:separator/>
      </w:r>
    </w:p>
  </w:footnote>
  <w:footnote w:type="continuationSeparator" w:id="0">
    <w:p w14:paraId="38C8DD91" w14:textId="77777777" w:rsidR="006F387D" w:rsidRDefault="006F387D" w:rsidP="004D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E932" w14:textId="6326BC88" w:rsidR="00F6379A" w:rsidRPr="00C63405" w:rsidRDefault="00F6433F" w:rsidP="00C63405">
    <w:pPr>
      <w:pStyle w:val="Header"/>
      <w:jc w:val="right"/>
    </w:pPr>
    <w:r>
      <w:t xml:space="preserve">Last Updated: </w:t>
    </w:r>
    <w:r w:rsidR="00B423E6">
      <w:t>10-17-2023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19D"/>
    <w:multiLevelType w:val="hybridMultilevel"/>
    <w:tmpl w:val="3E24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50865"/>
    <w:multiLevelType w:val="hybridMultilevel"/>
    <w:tmpl w:val="B5A0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762AC"/>
    <w:multiLevelType w:val="hybridMultilevel"/>
    <w:tmpl w:val="35F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B55F6"/>
    <w:multiLevelType w:val="hybridMultilevel"/>
    <w:tmpl w:val="931C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17052"/>
    <w:multiLevelType w:val="hybridMultilevel"/>
    <w:tmpl w:val="E5CEAC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605846"/>
    <w:multiLevelType w:val="hybridMultilevel"/>
    <w:tmpl w:val="697E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70C21"/>
    <w:multiLevelType w:val="hybridMultilevel"/>
    <w:tmpl w:val="F0B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595657">
    <w:abstractNumId w:val="2"/>
  </w:num>
  <w:num w:numId="2" w16cid:durableId="1454054810">
    <w:abstractNumId w:val="5"/>
  </w:num>
  <w:num w:numId="3" w16cid:durableId="217591976">
    <w:abstractNumId w:val="0"/>
  </w:num>
  <w:num w:numId="4" w16cid:durableId="405496713">
    <w:abstractNumId w:val="4"/>
  </w:num>
  <w:num w:numId="5" w16cid:durableId="1010643762">
    <w:abstractNumId w:val="1"/>
  </w:num>
  <w:num w:numId="6" w16cid:durableId="1706443244">
    <w:abstractNumId w:val="3"/>
  </w:num>
  <w:num w:numId="7" w16cid:durableId="990980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F4"/>
    <w:rsid w:val="0000411F"/>
    <w:rsid w:val="00014CBB"/>
    <w:rsid w:val="000156DC"/>
    <w:rsid w:val="0003225D"/>
    <w:rsid w:val="000751E4"/>
    <w:rsid w:val="000C7997"/>
    <w:rsid w:val="000D3089"/>
    <w:rsid w:val="000E6C7B"/>
    <w:rsid w:val="000F1F5D"/>
    <w:rsid w:val="00100B90"/>
    <w:rsid w:val="001079CF"/>
    <w:rsid w:val="0011110B"/>
    <w:rsid w:val="0011335B"/>
    <w:rsid w:val="00115E71"/>
    <w:rsid w:val="00177687"/>
    <w:rsid w:val="001B5F78"/>
    <w:rsid w:val="001F5A40"/>
    <w:rsid w:val="002222CA"/>
    <w:rsid w:val="00245556"/>
    <w:rsid w:val="0025629C"/>
    <w:rsid w:val="00275225"/>
    <w:rsid w:val="00276410"/>
    <w:rsid w:val="002C46A8"/>
    <w:rsid w:val="00316175"/>
    <w:rsid w:val="0035008A"/>
    <w:rsid w:val="0038368A"/>
    <w:rsid w:val="00383AE4"/>
    <w:rsid w:val="003A32BE"/>
    <w:rsid w:val="003A5197"/>
    <w:rsid w:val="003B5536"/>
    <w:rsid w:val="003C214D"/>
    <w:rsid w:val="003F357A"/>
    <w:rsid w:val="003F4906"/>
    <w:rsid w:val="003F5C13"/>
    <w:rsid w:val="00416028"/>
    <w:rsid w:val="0044625B"/>
    <w:rsid w:val="00454C6D"/>
    <w:rsid w:val="00466A7A"/>
    <w:rsid w:val="00475865"/>
    <w:rsid w:val="00484EB3"/>
    <w:rsid w:val="004A10ED"/>
    <w:rsid w:val="004C2A1A"/>
    <w:rsid w:val="004D6169"/>
    <w:rsid w:val="00502094"/>
    <w:rsid w:val="005107B2"/>
    <w:rsid w:val="00547E2F"/>
    <w:rsid w:val="005629FA"/>
    <w:rsid w:val="005654E3"/>
    <w:rsid w:val="00591BB4"/>
    <w:rsid w:val="005A20B9"/>
    <w:rsid w:val="005A3E50"/>
    <w:rsid w:val="005B0767"/>
    <w:rsid w:val="00600DB2"/>
    <w:rsid w:val="006031A2"/>
    <w:rsid w:val="00611D52"/>
    <w:rsid w:val="00621DB1"/>
    <w:rsid w:val="00625E15"/>
    <w:rsid w:val="006F387D"/>
    <w:rsid w:val="00711E8A"/>
    <w:rsid w:val="00761CFC"/>
    <w:rsid w:val="0077261A"/>
    <w:rsid w:val="007819A4"/>
    <w:rsid w:val="00785B1C"/>
    <w:rsid w:val="00792BE5"/>
    <w:rsid w:val="007958AB"/>
    <w:rsid w:val="0081134F"/>
    <w:rsid w:val="00842896"/>
    <w:rsid w:val="008932F1"/>
    <w:rsid w:val="008B4CAE"/>
    <w:rsid w:val="008C7C81"/>
    <w:rsid w:val="008D0541"/>
    <w:rsid w:val="008E087D"/>
    <w:rsid w:val="008E2F48"/>
    <w:rsid w:val="008F3BC7"/>
    <w:rsid w:val="008F4F73"/>
    <w:rsid w:val="009061F6"/>
    <w:rsid w:val="0093677A"/>
    <w:rsid w:val="0098173C"/>
    <w:rsid w:val="00985382"/>
    <w:rsid w:val="009D2CC5"/>
    <w:rsid w:val="009D6835"/>
    <w:rsid w:val="009F2299"/>
    <w:rsid w:val="009F7F58"/>
    <w:rsid w:val="00A342DD"/>
    <w:rsid w:val="00AE6A5A"/>
    <w:rsid w:val="00AF67C6"/>
    <w:rsid w:val="00B12090"/>
    <w:rsid w:val="00B36CDF"/>
    <w:rsid w:val="00B423E6"/>
    <w:rsid w:val="00B65D9C"/>
    <w:rsid w:val="00B761B8"/>
    <w:rsid w:val="00BD20BB"/>
    <w:rsid w:val="00BD720F"/>
    <w:rsid w:val="00C17067"/>
    <w:rsid w:val="00C25616"/>
    <w:rsid w:val="00C30ED7"/>
    <w:rsid w:val="00C42C2E"/>
    <w:rsid w:val="00C61BF4"/>
    <w:rsid w:val="00C63405"/>
    <w:rsid w:val="00C7353A"/>
    <w:rsid w:val="00CA2074"/>
    <w:rsid w:val="00CA2A64"/>
    <w:rsid w:val="00CB0E41"/>
    <w:rsid w:val="00CD0390"/>
    <w:rsid w:val="00CD06C2"/>
    <w:rsid w:val="00CD487C"/>
    <w:rsid w:val="00D01BB1"/>
    <w:rsid w:val="00D10ED5"/>
    <w:rsid w:val="00D11F29"/>
    <w:rsid w:val="00D160B7"/>
    <w:rsid w:val="00D354C4"/>
    <w:rsid w:val="00D81E61"/>
    <w:rsid w:val="00D837C6"/>
    <w:rsid w:val="00D921B7"/>
    <w:rsid w:val="00DD31C9"/>
    <w:rsid w:val="00DD7CB6"/>
    <w:rsid w:val="00E007DA"/>
    <w:rsid w:val="00E44DF9"/>
    <w:rsid w:val="00E52156"/>
    <w:rsid w:val="00E8291B"/>
    <w:rsid w:val="00E829AE"/>
    <w:rsid w:val="00E9578F"/>
    <w:rsid w:val="00EA6D32"/>
    <w:rsid w:val="00EB4C87"/>
    <w:rsid w:val="00EC73D6"/>
    <w:rsid w:val="00F076E2"/>
    <w:rsid w:val="00F269FE"/>
    <w:rsid w:val="00F6379A"/>
    <w:rsid w:val="00F6433F"/>
    <w:rsid w:val="00F70EC1"/>
    <w:rsid w:val="00F81037"/>
    <w:rsid w:val="00F93A0D"/>
    <w:rsid w:val="00FA218E"/>
    <w:rsid w:val="00FC0FCD"/>
    <w:rsid w:val="00FF3935"/>
    <w:rsid w:val="00FF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0B36"/>
  <w15:chartTrackingRefBased/>
  <w15:docId w15:val="{8805AA1B-1DBE-4CDB-8DD8-FB7BD16C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F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F4"/>
    <w:pPr>
      <w:spacing w:after="200" w:line="276" w:lineRule="auto"/>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4D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169"/>
    <w:rPr>
      <w:rFonts w:ascii="Times New Roman" w:hAnsi="Times New Roman"/>
      <w:sz w:val="24"/>
    </w:rPr>
  </w:style>
  <w:style w:type="paragraph" w:styleId="Footer">
    <w:name w:val="footer"/>
    <w:basedOn w:val="Normal"/>
    <w:link w:val="FooterChar"/>
    <w:uiPriority w:val="99"/>
    <w:unhideWhenUsed/>
    <w:rsid w:val="004D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169"/>
    <w:rPr>
      <w:rFonts w:ascii="Times New Roman" w:hAnsi="Times New Roman"/>
      <w:sz w:val="24"/>
    </w:rPr>
  </w:style>
  <w:style w:type="table" w:styleId="TableGrid">
    <w:name w:val="Table Grid"/>
    <w:basedOn w:val="TableNormal"/>
    <w:uiPriority w:val="39"/>
    <w:rsid w:val="008F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5A"/>
    <w:rPr>
      <w:rFonts w:ascii="Segoe UI" w:hAnsi="Segoe UI" w:cs="Segoe UI"/>
      <w:sz w:val="18"/>
      <w:szCs w:val="18"/>
    </w:rPr>
  </w:style>
  <w:style w:type="paragraph" w:styleId="FootnoteText">
    <w:name w:val="footnote text"/>
    <w:basedOn w:val="Normal"/>
    <w:link w:val="FootnoteTextChar"/>
    <w:uiPriority w:val="99"/>
    <w:semiHidden/>
    <w:unhideWhenUsed/>
    <w:rsid w:val="00C6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405"/>
    <w:rPr>
      <w:rFonts w:ascii="Times New Roman" w:hAnsi="Times New Roman"/>
      <w:sz w:val="20"/>
      <w:szCs w:val="20"/>
    </w:rPr>
  </w:style>
  <w:style w:type="character" w:styleId="FootnoteReference">
    <w:name w:val="footnote reference"/>
    <w:basedOn w:val="DefaultParagraphFont"/>
    <w:uiPriority w:val="99"/>
    <w:semiHidden/>
    <w:unhideWhenUsed/>
    <w:rsid w:val="00C6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1AA4-10A3-4FBD-8942-0AD80843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Sanchez</dc:creator>
  <cp:keywords/>
  <dc:description/>
  <cp:lastModifiedBy>Shari Ranae Williamson</cp:lastModifiedBy>
  <cp:revision>2</cp:revision>
  <cp:lastPrinted>2017-08-31T19:04:00Z</cp:lastPrinted>
  <dcterms:created xsi:type="dcterms:W3CDTF">2023-10-17T18:17:00Z</dcterms:created>
  <dcterms:modified xsi:type="dcterms:W3CDTF">2023-10-17T18:17:00Z</dcterms:modified>
</cp:coreProperties>
</file>