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8C60" w14:textId="701F6A88" w:rsidR="000D76A4" w:rsidRDefault="00CA406A" w:rsidP="00F76152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7652277" wp14:editId="3041C5D5">
            <wp:extent cx="4507713" cy="1287780"/>
            <wp:effectExtent l="0" t="0" r="0" b="0"/>
            <wp:docPr id="17" name="Picture 1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713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4460A" w14:textId="1A3B7033" w:rsidR="00761C5D" w:rsidRPr="00CA406A" w:rsidRDefault="00761C5D" w:rsidP="00CA406A">
      <w:pPr>
        <w:spacing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CA406A">
        <w:rPr>
          <w:rFonts w:ascii="Times New Roman" w:hAnsi="Times New Roman" w:cs="Times New Roman"/>
          <w:b/>
          <w:bCs/>
          <w:sz w:val="32"/>
          <w:szCs w:val="32"/>
        </w:rPr>
        <w:t>Fully-Online</w:t>
      </w:r>
      <w:proofErr w:type="gramEnd"/>
      <w:r w:rsidRPr="00CA406A">
        <w:rPr>
          <w:rFonts w:ascii="Times New Roman" w:hAnsi="Times New Roman" w:cs="Times New Roman"/>
          <w:b/>
          <w:bCs/>
          <w:sz w:val="32"/>
          <w:szCs w:val="32"/>
        </w:rPr>
        <w:t xml:space="preserve"> and Hybrid </w:t>
      </w:r>
      <w:r w:rsidR="00E34247" w:rsidRPr="00CA406A">
        <w:rPr>
          <w:rFonts w:ascii="Times New Roman" w:hAnsi="Times New Roman" w:cs="Times New Roman"/>
          <w:b/>
          <w:bCs/>
          <w:sz w:val="32"/>
          <w:szCs w:val="32"/>
        </w:rPr>
        <w:t xml:space="preserve">Online </w:t>
      </w:r>
      <w:r w:rsidRPr="00CA406A">
        <w:rPr>
          <w:rFonts w:ascii="Times New Roman" w:hAnsi="Times New Roman" w:cs="Times New Roman"/>
          <w:b/>
          <w:bCs/>
          <w:sz w:val="32"/>
          <w:szCs w:val="32"/>
        </w:rPr>
        <w:t xml:space="preserve">Undergraduate </w:t>
      </w:r>
      <w:r w:rsidR="00E34247" w:rsidRPr="00CA406A">
        <w:rPr>
          <w:rFonts w:ascii="Times New Roman" w:hAnsi="Times New Roman" w:cs="Times New Roman"/>
          <w:b/>
          <w:bCs/>
          <w:sz w:val="32"/>
          <w:szCs w:val="32"/>
        </w:rPr>
        <w:t>Programs</w:t>
      </w:r>
      <w:r w:rsidR="00CA406A" w:rsidRPr="00CA406A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</w:p>
    <w:p w14:paraId="07717C8E" w14:textId="77777777" w:rsidR="00692C75" w:rsidRDefault="00E34247" w:rsidP="00692C75">
      <w:pPr>
        <w:spacing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406A">
        <w:rPr>
          <w:rFonts w:ascii="Times New Roman" w:hAnsi="Times New Roman" w:cs="Times New Roman"/>
          <w:b/>
          <w:bCs/>
          <w:sz w:val="32"/>
          <w:szCs w:val="32"/>
        </w:rPr>
        <w:t>Tuition</w:t>
      </w:r>
      <w:r w:rsidR="00761C5D" w:rsidRPr="00CA406A">
        <w:rPr>
          <w:rFonts w:ascii="Times New Roman" w:hAnsi="Times New Roman" w:cs="Times New Roman"/>
          <w:b/>
          <w:bCs/>
          <w:sz w:val="32"/>
          <w:szCs w:val="32"/>
        </w:rPr>
        <w:t xml:space="preserve"> and Fee </w:t>
      </w:r>
      <w:r w:rsidR="00DF181E">
        <w:rPr>
          <w:rFonts w:ascii="Times New Roman" w:hAnsi="Times New Roman" w:cs="Times New Roman"/>
          <w:b/>
          <w:bCs/>
          <w:sz w:val="32"/>
          <w:szCs w:val="32"/>
        </w:rPr>
        <w:t>Recommended</w:t>
      </w:r>
      <w:r w:rsidR="00722DE5">
        <w:rPr>
          <w:rFonts w:ascii="Times New Roman" w:hAnsi="Times New Roman" w:cs="Times New Roman"/>
          <w:b/>
          <w:bCs/>
          <w:sz w:val="32"/>
          <w:szCs w:val="32"/>
        </w:rPr>
        <w:t xml:space="preserve"> Actions</w:t>
      </w:r>
    </w:p>
    <w:p w14:paraId="2D175810" w14:textId="77777777" w:rsidR="00692C75" w:rsidRDefault="00692C75" w:rsidP="00692C75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1AEA5" w14:textId="11E46DD8" w:rsidR="00B55F68" w:rsidRPr="00CA406A" w:rsidRDefault="00692C75" w:rsidP="00692C75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692C7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55F68" w:rsidRPr="00692C75">
        <w:rPr>
          <w:rFonts w:ascii="Times New Roman" w:hAnsi="Times New Roman" w:cs="Times New Roman"/>
          <w:b/>
          <w:bCs/>
          <w:sz w:val="24"/>
          <w:szCs w:val="24"/>
        </w:rPr>
        <w:t>nten</w:t>
      </w:r>
      <w:r w:rsidR="00B55F68" w:rsidRPr="00CA406A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4086D1F7" w14:textId="595CE6A3" w:rsidR="00F011CF" w:rsidRDefault="002E73FB" w:rsidP="00F011CF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E7466">
        <w:rPr>
          <w:rFonts w:ascii="Times New Roman" w:eastAsia="Times New Roman" w:hAnsi="Times New Roman" w:cs="Times New Roman"/>
          <w:sz w:val="24"/>
          <w:szCs w:val="24"/>
        </w:rPr>
        <w:t>ncrease the number o</w:t>
      </w:r>
      <w:r w:rsidR="00AE7466" w:rsidRPr="00A955B6">
        <w:rPr>
          <w:rFonts w:ascii="Times New Roman" w:eastAsia="Times New Roman" w:hAnsi="Times New Roman" w:cs="Times New Roman"/>
          <w:sz w:val="24"/>
          <w:szCs w:val="24"/>
        </w:rPr>
        <w:t>f new learners</w:t>
      </w:r>
      <w:r w:rsidR="00AE7466">
        <w:rPr>
          <w:rFonts w:ascii="Times New Roman" w:eastAsia="Times New Roman" w:hAnsi="Times New Roman" w:cs="Times New Roman"/>
          <w:sz w:val="24"/>
          <w:szCs w:val="24"/>
        </w:rPr>
        <w:t xml:space="preserve"> pursuing </w:t>
      </w:r>
      <w:r w:rsidR="001D71FE">
        <w:rPr>
          <w:rFonts w:ascii="Times New Roman" w:eastAsia="Times New Roman" w:hAnsi="Times New Roman" w:cs="Times New Roman"/>
          <w:sz w:val="24"/>
          <w:szCs w:val="24"/>
        </w:rPr>
        <w:t xml:space="preserve">University of Wyoming </w:t>
      </w:r>
      <w:r w:rsidR="00AE7466">
        <w:rPr>
          <w:rFonts w:ascii="Times New Roman" w:eastAsia="Times New Roman" w:hAnsi="Times New Roman" w:cs="Times New Roman"/>
          <w:sz w:val="24"/>
          <w:szCs w:val="24"/>
        </w:rPr>
        <w:t>online programs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55D5C5" w14:textId="40164F56" w:rsidR="00B55F68" w:rsidRPr="00CA406A" w:rsidRDefault="00B55F68" w:rsidP="00B55F68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CA406A">
        <w:rPr>
          <w:rFonts w:ascii="Times New Roman" w:eastAsia="Times New Roman" w:hAnsi="Times New Roman" w:cs="Times New Roman"/>
          <w:sz w:val="24"/>
          <w:szCs w:val="24"/>
        </w:rPr>
        <w:t xml:space="preserve">Ensure </w:t>
      </w:r>
      <w:r w:rsidR="00AE02ED">
        <w:rPr>
          <w:rFonts w:ascii="Times New Roman" w:eastAsia="Times New Roman" w:hAnsi="Times New Roman" w:cs="Times New Roman"/>
          <w:sz w:val="24"/>
          <w:szCs w:val="24"/>
        </w:rPr>
        <w:t>UW</w:t>
      </w:r>
      <w:r w:rsidRPr="00CA406A">
        <w:rPr>
          <w:rFonts w:ascii="Times New Roman" w:eastAsia="Times New Roman" w:hAnsi="Times New Roman" w:cs="Times New Roman"/>
          <w:sz w:val="24"/>
          <w:szCs w:val="24"/>
        </w:rPr>
        <w:t xml:space="preserve"> is the first choice for Wyoming residents</w:t>
      </w:r>
      <w:r>
        <w:rPr>
          <w:rFonts w:ascii="Times New Roman" w:eastAsia="Times New Roman" w:hAnsi="Times New Roman" w:cs="Times New Roman"/>
          <w:sz w:val="24"/>
          <w:szCs w:val="24"/>
        </w:rPr>
        <w:t>. They are</w:t>
      </w:r>
      <w:r w:rsidRPr="00CA406A">
        <w:rPr>
          <w:rFonts w:ascii="Times New Roman" w:eastAsia="Times New Roman" w:hAnsi="Times New Roman" w:cs="Times New Roman"/>
          <w:sz w:val="24"/>
          <w:szCs w:val="24"/>
        </w:rPr>
        <w:t xml:space="preserve"> currently choosing out-of-state online competitors at the 2</w:t>
      </w:r>
      <w:r w:rsidRPr="00CA40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CA406A">
        <w:rPr>
          <w:rFonts w:ascii="Times New Roman" w:eastAsia="Times New Roman" w:hAnsi="Times New Roman" w:cs="Times New Roman"/>
          <w:sz w:val="24"/>
          <w:szCs w:val="24"/>
        </w:rPr>
        <w:t xml:space="preserve"> highest rate in the nation</w:t>
      </w:r>
      <w:r w:rsidR="00622F4B">
        <w:rPr>
          <w:rFonts w:ascii="Times New Roman" w:eastAsia="Times New Roman" w:hAnsi="Times New Roman" w:cs="Times New Roman"/>
          <w:sz w:val="24"/>
          <w:szCs w:val="24"/>
        </w:rPr>
        <w:t xml:space="preserve"> (Alaska is 1</w:t>
      </w:r>
      <w:r w:rsidR="00622F4B" w:rsidRPr="00622F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622F4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A406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F6BAA2" w14:textId="305A7EFB" w:rsidR="00B55F68" w:rsidRPr="00CA406A" w:rsidRDefault="00B55F68" w:rsidP="00B55F68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CA406A">
        <w:rPr>
          <w:rFonts w:ascii="Times New Roman" w:eastAsia="Times New Roman" w:hAnsi="Times New Roman" w:cs="Times New Roman"/>
          <w:sz w:val="24"/>
          <w:szCs w:val="24"/>
        </w:rPr>
        <w:t xml:space="preserve">Attract nonresident students due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C780E">
        <w:rPr>
          <w:rFonts w:ascii="Times New Roman" w:eastAsia="Times New Roman" w:hAnsi="Times New Roman" w:cs="Times New Roman"/>
          <w:sz w:val="24"/>
          <w:szCs w:val="24"/>
        </w:rPr>
        <w:t>superior</w:t>
      </w:r>
      <w:r w:rsidRPr="00CA406A">
        <w:rPr>
          <w:rFonts w:ascii="Times New Roman" w:eastAsia="Times New Roman" w:hAnsi="Times New Roman" w:cs="Times New Roman"/>
          <w:sz w:val="24"/>
          <w:szCs w:val="24"/>
        </w:rPr>
        <w:t xml:space="preserve"> learning experience and </w:t>
      </w:r>
      <w:r w:rsidR="003373C6">
        <w:rPr>
          <w:rFonts w:ascii="Times New Roman" w:eastAsia="Times New Roman" w:hAnsi="Times New Roman" w:cs="Times New Roman"/>
          <w:sz w:val="24"/>
          <w:szCs w:val="24"/>
        </w:rPr>
        <w:t>a</w:t>
      </w:r>
      <w:r w:rsidR="00CA00C5">
        <w:rPr>
          <w:rFonts w:ascii="Times New Roman" w:eastAsia="Times New Roman" w:hAnsi="Times New Roman" w:cs="Times New Roman"/>
          <w:sz w:val="24"/>
          <w:szCs w:val="24"/>
        </w:rPr>
        <w:t xml:space="preserve"> competitive</w:t>
      </w:r>
      <w:r w:rsidRPr="00CA406A">
        <w:rPr>
          <w:rFonts w:ascii="Times New Roman" w:eastAsia="Times New Roman" w:hAnsi="Times New Roman" w:cs="Times New Roman"/>
          <w:sz w:val="24"/>
          <w:szCs w:val="24"/>
        </w:rPr>
        <w:t xml:space="preserve"> price point </w:t>
      </w:r>
      <w:r w:rsidR="003373C6">
        <w:rPr>
          <w:rFonts w:ascii="Times New Roman" w:eastAsia="Times New Roman" w:hAnsi="Times New Roman" w:cs="Times New Roman"/>
          <w:sz w:val="24"/>
          <w:szCs w:val="24"/>
        </w:rPr>
        <w:t>compared to</w:t>
      </w:r>
      <w:r w:rsidR="00CA0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2F4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A00C5">
        <w:rPr>
          <w:rFonts w:ascii="Times New Roman" w:eastAsia="Times New Roman" w:hAnsi="Times New Roman" w:cs="Times New Roman"/>
          <w:sz w:val="24"/>
          <w:szCs w:val="24"/>
        </w:rPr>
        <w:t xml:space="preserve">out-of-state </w:t>
      </w:r>
      <w:r w:rsidR="00AD62DA">
        <w:rPr>
          <w:rFonts w:ascii="Times New Roman" w:eastAsia="Times New Roman" w:hAnsi="Times New Roman" w:cs="Times New Roman"/>
          <w:sz w:val="24"/>
          <w:szCs w:val="24"/>
        </w:rPr>
        <w:t xml:space="preserve">online </w:t>
      </w:r>
      <w:r w:rsidR="00CA00C5">
        <w:rPr>
          <w:rFonts w:ascii="Times New Roman" w:eastAsia="Times New Roman" w:hAnsi="Times New Roman" w:cs="Times New Roman"/>
          <w:sz w:val="24"/>
          <w:szCs w:val="24"/>
        </w:rPr>
        <w:t xml:space="preserve">universities they are </w:t>
      </w:r>
      <w:r w:rsidR="00AD62DA">
        <w:rPr>
          <w:rFonts w:ascii="Times New Roman" w:eastAsia="Times New Roman" w:hAnsi="Times New Roman" w:cs="Times New Roman"/>
          <w:sz w:val="24"/>
          <w:szCs w:val="24"/>
        </w:rPr>
        <w:t>most commonly attending</w:t>
      </w:r>
      <w:r w:rsidRPr="00CA40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62D169" w14:textId="6364B160" w:rsidR="00B55F68" w:rsidRPr="00CA406A" w:rsidRDefault="00B55F68" w:rsidP="00B55F68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CA406A">
        <w:rPr>
          <w:rFonts w:ascii="Times New Roman" w:eastAsia="Times New Roman" w:hAnsi="Times New Roman" w:cs="Times New Roman"/>
          <w:sz w:val="24"/>
          <w:szCs w:val="24"/>
        </w:rPr>
        <w:t xml:space="preserve">Grow the number of available online programs by increasing revenue shared to </w:t>
      </w:r>
      <w:r w:rsidR="00EB3C6F">
        <w:rPr>
          <w:rFonts w:ascii="Times New Roman" w:eastAsia="Times New Roman" w:hAnsi="Times New Roman" w:cs="Times New Roman"/>
          <w:sz w:val="24"/>
          <w:szCs w:val="24"/>
        </w:rPr>
        <w:t xml:space="preserve">colleges </w:t>
      </w:r>
      <w:r w:rsidR="00C100D1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CA406A">
        <w:rPr>
          <w:rFonts w:ascii="Times New Roman" w:eastAsia="Times New Roman" w:hAnsi="Times New Roman" w:cs="Times New Roman"/>
          <w:sz w:val="24"/>
          <w:szCs w:val="24"/>
        </w:rPr>
        <w:t>academic departments.</w:t>
      </w:r>
    </w:p>
    <w:p w14:paraId="56088CF3" w14:textId="593D8B6C" w:rsidR="00B55F68" w:rsidRPr="00CA406A" w:rsidRDefault="00B55F68" w:rsidP="00B55F68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CA406A">
        <w:rPr>
          <w:rFonts w:ascii="Times New Roman" w:eastAsia="Times New Roman" w:hAnsi="Times New Roman" w:cs="Times New Roman"/>
          <w:sz w:val="24"/>
          <w:szCs w:val="24"/>
        </w:rPr>
        <w:t xml:space="preserve">Increase revenue to </w:t>
      </w:r>
      <w:r w:rsidR="00533A9D">
        <w:rPr>
          <w:rFonts w:ascii="Times New Roman" w:eastAsia="Times New Roman" w:hAnsi="Times New Roman" w:cs="Times New Roman"/>
          <w:sz w:val="24"/>
          <w:szCs w:val="24"/>
        </w:rPr>
        <w:t xml:space="preserve">colleges, academic departments, and </w:t>
      </w:r>
      <w:r w:rsidRPr="00CA406A">
        <w:rPr>
          <w:rFonts w:ascii="Times New Roman" w:eastAsia="Times New Roman" w:hAnsi="Times New Roman" w:cs="Times New Roman"/>
          <w:sz w:val="24"/>
          <w:szCs w:val="24"/>
        </w:rPr>
        <w:t>the central budget.</w:t>
      </w:r>
    </w:p>
    <w:p w14:paraId="21141E05" w14:textId="6AB5B3F3" w:rsidR="00B55F68" w:rsidRPr="00CA406A" w:rsidRDefault="00B55F68" w:rsidP="00B55F68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CA406A">
        <w:rPr>
          <w:rFonts w:ascii="Times New Roman" w:eastAsia="Times New Roman" w:hAnsi="Times New Roman" w:cs="Times New Roman"/>
          <w:sz w:val="24"/>
          <w:szCs w:val="24"/>
        </w:rPr>
        <w:t xml:space="preserve">Ensure the </w:t>
      </w:r>
      <w:r>
        <w:rPr>
          <w:rFonts w:ascii="Times New Roman" w:eastAsia="Times New Roman" w:hAnsi="Times New Roman" w:cs="Times New Roman"/>
          <w:sz w:val="24"/>
          <w:szCs w:val="24"/>
        </w:rPr>
        <w:t>on-campus</w:t>
      </w:r>
      <w:r w:rsidRPr="00CA406A">
        <w:rPr>
          <w:rFonts w:ascii="Times New Roman" w:eastAsia="Times New Roman" w:hAnsi="Times New Roman" w:cs="Times New Roman"/>
          <w:sz w:val="24"/>
          <w:szCs w:val="24"/>
        </w:rPr>
        <w:t xml:space="preserve"> experience is the first choice for Wyoming residents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A82D6E">
        <w:rPr>
          <w:rFonts w:ascii="Times New Roman" w:eastAsia="Times New Roman" w:hAnsi="Times New Roman" w:cs="Times New Roman"/>
          <w:sz w:val="24"/>
          <w:szCs w:val="24"/>
        </w:rPr>
        <w:t xml:space="preserve">, when </w:t>
      </w:r>
      <w:r w:rsidR="0038325B">
        <w:rPr>
          <w:rFonts w:ascii="Times New Roman" w:eastAsia="Times New Roman" w:hAnsi="Times New Roman" w:cs="Times New Roman"/>
          <w:sz w:val="24"/>
          <w:szCs w:val="24"/>
        </w:rPr>
        <w:t xml:space="preserve">useful, </w:t>
      </w:r>
      <w:r w:rsidRPr="00CA406A">
        <w:rPr>
          <w:rFonts w:ascii="Times New Roman" w:eastAsia="Times New Roman" w:hAnsi="Times New Roman" w:cs="Times New Roman"/>
          <w:sz w:val="24"/>
          <w:szCs w:val="24"/>
        </w:rPr>
        <w:t xml:space="preserve">online programs are chosen because of flexibility, not </w:t>
      </w:r>
      <w:r w:rsidR="00563FEB">
        <w:rPr>
          <w:rFonts w:ascii="Times New Roman" w:eastAsia="Times New Roman" w:hAnsi="Times New Roman" w:cs="Times New Roman"/>
          <w:sz w:val="24"/>
          <w:szCs w:val="24"/>
        </w:rPr>
        <w:t>b</w:t>
      </w:r>
      <w:r w:rsidR="00382032">
        <w:rPr>
          <w:rFonts w:ascii="Times New Roman" w:eastAsia="Times New Roman" w:hAnsi="Times New Roman" w:cs="Times New Roman"/>
          <w:sz w:val="24"/>
          <w:szCs w:val="24"/>
        </w:rPr>
        <w:t xml:space="preserve">ecause of </w:t>
      </w:r>
      <w:r w:rsidRPr="00CA406A">
        <w:rPr>
          <w:rFonts w:ascii="Times New Roman" w:eastAsia="Times New Roman" w:hAnsi="Times New Roman" w:cs="Times New Roman"/>
          <w:sz w:val="24"/>
          <w:szCs w:val="24"/>
        </w:rPr>
        <w:t>affordability.</w:t>
      </w:r>
    </w:p>
    <w:p w14:paraId="1BD07432" w14:textId="269E8A72" w:rsidR="00B55F68" w:rsidRDefault="009704F8" w:rsidP="00B55F68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55F68" w:rsidRPr="00CA406A">
        <w:rPr>
          <w:rFonts w:ascii="Times New Roman" w:eastAsia="Times New Roman" w:hAnsi="Times New Roman" w:cs="Times New Roman"/>
          <w:sz w:val="24"/>
          <w:szCs w:val="24"/>
        </w:rPr>
        <w:t>nsur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55F68" w:rsidRPr="00CA406A">
        <w:rPr>
          <w:rFonts w:ascii="Times New Roman" w:eastAsia="Times New Roman" w:hAnsi="Times New Roman" w:cs="Times New Roman"/>
          <w:sz w:val="24"/>
          <w:szCs w:val="24"/>
        </w:rPr>
        <w:t xml:space="preserve"> in-person sections are the more affordable choice</w:t>
      </w:r>
      <w:r w:rsidR="0047187E">
        <w:rPr>
          <w:rFonts w:ascii="Times New Roman" w:eastAsia="Times New Roman" w:hAnsi="Times New Roman" w:cs="Times New Roman"/>
          <w:sz w:val="24"/>
          <w:szCs w:val="24"/>
        </w:rPr>
        <w:t xml:space="preserve"> for i</w:t>
      </w:r>
      <w:r w:rsidRPr="00CA406A">
        <w:rPr>
          <w:rFonts w:ascii="Times New Roman" w:eastAsia="Times New Roman" w:hAnsi="Times New Roman" w:cs="Times New Roman"/>
          <w:sz w:val="24"/>
          <w:szCs w:val="24"/>
        </w:rPr>
        <w:t>n-person program seekers</w:t>
      </w:r>
      <w:r w:rsidR="004718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0691C6" w14:textId="77777777" w:rsidR="00324866" w:rsidRDefault="00324866" w:rsidP="00F76152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48C36" w14:textId="322D51F4" w:rsidR="00591816" w:rsidRPr="00CA406A" w:rsidRDefault="00DF181E" w:rsidP="00F76152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Recommended</w:t>
      </w:r>
      <w:r w:rsidR="00591816" w:rsidRPr="00CA406A">
        <w:rPr>
          <w:rFonts w:ascii="Times New Roman" w:hAnsi="Times New Roman" w:cs="Times New Roman"/>
          <w:b/>
          <w:bCs/>
          <w:sz w:val="24"/>
          <w:szCs w:val="24"/>
        </w:rPr>
        <w:t xml:space="preserve"> Actions</w:t>
      </w:r>
    </w:p>
    <w:p w14:paraId="59FCB342" w14:textId="2B0D7292" w:rsidR="00591816" w:rsidRPr="00594444" w:rsidRDefault="004B3BF8" w:rsidP="00810B7A">
      <w:pPr>
        <w:pStyle w:val="ListParagraph"/>
        <w:numPr>
          <w:ilvl w:val="0"/>
          <w:numId w:val="9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594444">
        <w:rPr>
          <w:rFonts w:ascii="Times New Roman" w:hAnsi="Times New Roman" w:cs="Times New Roman"/>
          <w:sz w:val="24"/>
          <w:szCs w:val="24"/>
        </w:rPr>
        <w:t xml:space="preserve">Action 1: </w:t>
      </w:r>
      <w:r w:rsidR="00591816" w:rsidRPr="00594444">
        <w:rPr>
          <w:rFonts w:ascii="Times New Roman" w:hAnsi="Times New Roman" w:cs="Times New Roman"/>
          <w:sz w:val="24"/>
          <w:szCs w:val="24"/>
        </w:rPr>
        <w:t xml:space="preserve">Increase </w:t>
      </w:r>
      <w:r w:rsidR="001F4B47" w:rsidRPr="00594444">
        <w:rPr>
          <w:rFonts w:ascii="Times New Roman" w:hAnsi="Times New Roman" w:cs="Times New Roman"/>
          <w:sz w:val="24"/>
          <w:szCs w:val="24"/>
        </w:rPr>
        <w:t xml:space="preserve">resident </w:t>
      </w:r>
      <w:r w:rsidR="00591816" w:rsidRPr="00594444">
        <w:rPr>
          <w:rFonts w:ascii="Times New Roman" w:hAnsi="Times New Roman" w:cs="Times New Roman"/>
          <w:sz w:val="24"/>
          <w:szCs w:val="24"/>
        </w:rPr>
        <w:t xml:space="preserve">online </w:t>
      </w:r>
      <w:r w:rsidR="001F4B47" w:rsidRPr="00594444">
        <w:rPr>
          <w:rFonts w:ascii="Times New Roman" w:hAnsi="Times New Roman" w:cs="Times New Roman"/>
          <w:sz w:val="24"/>
          <w:szCs w:val="24"/>
        </w:rPr>
        <w:t xml:space="preserve">program seeker </w:t>
      </w:r>
      <w:r w:rsidR="00591816" w:rsidRPr="00594444">
        <w:rPr>
          <w:rFonts w:ascii="Times New Roman" w:hAnsi="Times New Roman" w:cs="Times New Roman"/>
          <w:sz w:val="24"/>
          <w:szCs w:val="24"/>
        </w:rPr>
        <w:t>tuition from $160 to $199</w:t>
      </w:r>
      <w:r w:rsidR="00B15CE3" w:rsidRPr="00594444">
        <w:rPr>
          <w:rFonts w:ascii="Times New Roman" w:hAnsi="Times New Roman" w:cs="Times New Roman"/>
          <w:sz w:val="24"/>
          <w:szCs w:val="24"/>
        </w:rPr>
        <w:t xml:space="preserve"> per credit</w:t>
      </w:r>
      <w:r w:rsidR="003320E4" w:rsidRPr="00594444">
        <w:rPr>
          <w:rFonts w:ascii="Times New Roman" w:hAnsi="Times New Roman" w:cs="Times New Roman"/>
          <w:sz w:val="24"/>
          <w:szCs w:val="24"/>
        </w:rPr>
        <w:t>.</w:t>
      </w:r>
    </w:p>
    <w:p w14:paraId="6F5D44E3" w14:textId="3FD9C122" w:rsidR="00B15CE3" w:rsidRPr="00594444" w:rsidRDefault="004B3BF8" w:rsidP="00810B7A">
      <w:pPr>
        <w:pStyle w:val="ListParagraph"/>
        <w:numPr>
          <w:ilvl w:val="0"/>
          <w:numId w:val="9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594444">
        <w:rPr>
          <w:rFonts w:ascii="Times New Roman" w:hAnsi="Times New Roman" w:cs="Times New Roman"/>
          <w:sz w:val="24"/>
          <w:szCs w:val="24"/>
        </w:rPr>
        <w:t xml:space="preserve">Action 2: </w:t>
      </w:r>
      <w:r w:rsidR="00B15CE3" w:rsidRPr="00594444">
        <w:rPr>
          <w:rFonts w:ascii="Times New Roman" w:hAnsi="Times New Roman" w:cs="Times New Roman"/>
          <w:sz w:val="24"/>
          <w:szCs w:val="24"/>
        </w:rPr>
        <w:t>Decrease nonresident</w:t>
      </w:r>
      <w:r w:rsidR="001F4B47" w:rsidRPr="00594444">
        <w:rPr>
          <w:rFonts w:ascii="Times New Roman" w:hAnsi="Times New Roman" w:cs="Times New Roman"/>
          <w:sz w:val="24"/>
          <w:szCs w:val="24"/>
        </w:rPr>
        <w:t xml:space="preserve"> online program seeker </w:t>
      </w:r>
      <w:r w:rsidR="00B15CE3" w:rsidRPr="00594444">
        <w:rPr>
          <w:rFonts w:ascii="Times New Roman" w:hAnsi="Times New Roman" w:cs="Times New Roman"/>
          <w:sz w:val="24"/>
          <w:szCs w:val="24"/>
        </w:rPr>
        <w:t>tuition from $345 to $2</w:t>
      </w:r>
      <w:r w:rsidR="00187F13" w:rsidRPr="00594444">
        <w:rPr>
          <w:rFonts w:ascii="Times New Roman" w:hAnsi="Times New Roman" w:cs="Times New Roman"/>
          <w:sz w:val="24"/>
          <w:szCs w:val="24"/>
        </w:rPr>
        <w:t>8</w:t>
      </w:r>
      <w:r w:rsidR="00B15CE3" w:rsidRPr="00594444">
        <w:rPr>
          <w:rFonts w:ascii="Times New Roman" w:hAnsi="Times New Roman" w:cs="Times New Roman"/>
          <w:sz w:val="24"/>
          <w:szCs w:val="24"/>
        </w:rPr>
        <w:t>9 per credit</w:t>
      </w:r>
      <w:r w:rsidR="003320E4" w:rsidRPr="00594444">
        <w:rPr>
          <w:rFonts w:ascii="Times New Roman" w:hAnsi="Times New Roman" w:cs="Times New Roman"/>
          <w:sz w:val="24"/>
          <w:szCs w:val="24"/>
        </w:rPr>
        <w:t>.</w:t>
      </w:r>
    </w:p>
    <w:p w14:paraId="1D16C0F4" w14:textId="1556B355" w:rsidR="00A25570" w:rsidRPr="00594444" w:rsidRDefault="004B3BF8" w:rsidP="00810B7A">
      <w:pPr>
        <w:pStyle w:val="ListParagraph"/>
        <w:numPr>
          <w:ilvl w:val="0"/>
          <w:numId w:val="9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594444">
        <w:rPr>
          <w:rFonts w:ascii="Times New Roman" w:hAnsi="Times New Roman" w:cs="Times New Roman"/>
          <w:sz w:val="24"/>
          <w:szCs w:val="24"/>
        </w:rPr>
        <w:t xml:space="preserve">Action 3: </w:t>
      </w:r>
      <w:r w:rsidR="00A25570" w:rsidRPr="00594444">
        <w:rPr>
          <w:rFonts w:ascii="Times New Roman" w:hAnsi="Times New Roman" w:cs="Times New Roman"/>
          <w:sz w:val="24"/>
          <w:szCs w:val="24"/>
        </w:rPr>
        <w:t xml:space="preserve">Increase the </w:t>
      </w:r>
      <w:r w:rsidR="00BC78BB" w:rsidRPr="00594444">
        <w:rPr>
          <w:rFonts w:ascii="Times New Roman" w:hAnsi="Times New Roman" w:cs="Times New Roman"/>
          <w:sz w:val="24"/>
          <w:szCs w:val="24"/>
        </w:rPr>
        <w:t>distance delivery</w:t>
      </w:r>
      <w:r w:rsidR="006F0016" w:rsidRPr="00594444">
        <w:rPr>
          <w:rFonts w:ascii="Times New Roman" w:hAnsi="Times New Roman" w:cs="Times New Roman"/>
          <w:sz w:val="24"/>
          <w:szCs w:val="24"/>
        </w:rPr>
        <w:t xml:space="preserve"> </w:t>
      </w:r>
      <w:r w:rsidR="00A25570" w:rsidRPr="00594444">
        <w:rPr>
          <w:rFonts w:ascii="Times New Roman" w:hAnsi="Times New Roman" w:cs="Times New Roman"/>
          <w:sz w:val="24"/>
          <w:szCs w:val="24"/>
        </w:rPr>
        <w:t>fee</w:t>
      </w:r>
      <w:r w:rsidR="002542FC">
        <w:rPr>
          <w:rFonts w:ascii="Times New Roman" w:hAnsi="Times New Roman" w:cs="Times New Roman"/>
          <w:sz w:val="24"/>
          <w:szCs w:val="24"/>
        </w:rPr>
        <w:t xml:space="preserve"> from $14 to $44 per credit</w:t>
      </w:r>
      <w:r w:rsidR="002E1C87" w:rsidRPr="00594444">
        <w:rPr>
          <w:rFonts w:ascii="Times New Roman" w:hAnsi="Times New Roman" w:cs="Times New Roman"/>
          <w:sz w:val="24"/>
          <w:szCs w:val="24"/>
        </w:rPr>
        <w:t>.</w:t>
      </w:r>
    </w:p>
    <w:p w14:paraId="7DB342B7" w14:textId="77777777" w:rsidR="00A00CC3" w:rsidRDefault="00A00CC3" w:rsidP="00F76152">
      <w:pPr>
        <w:spacing w:after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09CC30" w14:textId="19A0CD56" w:rsidR="00A644E4" w:rsidRDefault="00A644E4" w:rsidP="00225C7F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Assumptions</w:t>
      </w:r>
    </w:p>
    <w:p w14:paraId="72318617" w14:textId="1DC1D263" w:rsidR="00A644E4" w:rsidRDefault="00020011" w:rsidP="00A644E4">
      <w:pPr>
        <w:pStyle w:val="ListParagraph"/>
        <w:numPr>
          <w:ilvl w:val="0"/>
          <w:numId w:val="16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876DFB">
        <w:rPr>
          <w:rFonts w:ascii="Times New Roman" w:hAnsi="Times New Roman" w:cs="Times New Roman"/>
          <w:sz w:val="24"/>
          <w:szCs w:val="24"/>
        </w:rPr>
        <w:t>In-person program seekers pay the in-person schedule of tuition and fees regar</w:t>
      </w:r>
      <w:r w:rsidR="00072D45" w:rsidRPr="00876DFB">
        <w:rPr>
          <w:rFonts w:ascii="Times New Roman" w:hAnsi="Times New Roman" w:cs="Times New Roman"/>
          <w:sz w:val="24"/>
          <w:szCs w:val="24"/>
        </w:rPr>
        <w:t xml:space="preserve">dless of if they enroll in an online course. </w:t>
      </w:r>
      <w:r w:rsidR="000B5661">
        <w:rPr>
          <w:rFonts w:ascii="Times New Roman" w:hAnsi="Times New Roman" w:cs="Times New Roman"/>
          <w:sz w:val="24"/>
          <w:szCs w:val="24"/>
        </w:rPr>
        <w:t>The only</w:t>
      </w:r>
      <w:r w:rsidR="00072D45" w:rsidRPr="00876DFB">
        <w:rPr>
          <w:rFonts w:ascii="Times New Roman" w:hAnsi="Times New Roman" w:cs="Times New Roman"/>
          <w:sz w:val="24"/>
          <w:szCs w:val="24"/>
        </w:rPr>
        <w:t xml:space="preserve"> additional charge for an online enrollment is the </w:t>
      </w:r>
      <w:r w:rsidR="001806FF" w:rsidRPr="00876DFB">
        <w:rPr>
          <w:rFonts w:ascii="Times New Roman" w:hAnsi="Times New Roman" w:cs="Times New Roman"/>
          <w:sz w:val="24"/>
          <w:szCs w:val="24"/>
        </w:rPr>
        <w:t xml:space="preserve">current $14 per credit </w:t>
      </w:r>
      <w:r w:rsidR="00876DFB" w:rsidRPr="00876DFB">
        <w:rPr>
          <w:rFonts w:ascii="Times New Roman" w:hAnsi="Times New Roman" w:cs="Times New Roman"/>
          <w:sz w:val="24"/>
          <w:szCs w:val="24"/>
        </w:rPr>
        <w:t>distance delivery fee</w:t>
      </w:r>
      <w:r w:rsidR="00A876C0">
        <w:rPr>
          <w:rFonts w:ascii="Times New Roman" w:hAnsi="Times New Roman" w:cs="Times New Roman"/>
          <w:sz w:val="24"/>
          <w:szCs w:val="24"/>
        </w:rPr>
        <w:t xml:space="preserve"> (an increase to this fee is recommended in this document)</w:t>
      </w:r>
      <w:r w:rsidR="00876DFB" w:rsidRPr="00876DFB">
        <w:rPr>
          <w:rFonts w:ascii="Times New Roman" w:hAnsi="Times New Roman" w:cs="Times New Roman"/>
          <w:sz w:val="24"/>
          <w:szCs w:val="24"/>
        </w:rPr>
        <w:t xml:space="preserve">. </w:t>
      </w:r>
      <w:r w:rsidR="006A4276">
        <w:rPr>
          <w:rFonts w:ascii="Times New Roman" w:hAnsi="Times New Roman" w:cs="Times New Roman"/>
          <w:sz w:val="24"/>
          <w:szCs w:val="24"/>
        </w:rPr>
        <w:t xml:space="preserve">Block tuition applies regardless of the blend of enrollments. </w:t>
      </w:r>
    </w:p>
    <w:p w14:paraId="06A73FE3" w14:textId="5D680852" w:rsidR="009C776C" w:rsidRDefault="009C776C" w:rsidP="00A644E4">
      <w:pPr>
        <w:pStyle w:val="ListParagraph"/>
        <w:numPr>
          <w:ilvl w:val="0"/>
          <w:numId w:val="16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</w:t>
      </w:r>
      <w:r w:rsidR="00286BF4">
        <w:rPr>
          <w:rFonts w:ascii="Times New Roman" w:hAnsi="Times New Roman" w:cs="Times New Roman"/>
          <w:sz w:val="24"/>
          <w:szCs w:val="24"/>
        </w:rPr>
        <w:t>program seekers</w:t>
      </w:r>
      <w:r>
        <w:rPr>
          <w:rFonts w:ascii="Times New Roman" w:hAnsi="Times New Roman" w:cs="Times New Roman"/>
          <w:sz w:val="24"/>
          <w:szCs w:val="24"/>
        </w:rPr>
        <w:t xml:space="preserve"> pay the online schedule of tuition and fees regardless of if they enroll in an in-person course</w:t>
      </w:r>
      <w:r w:rsidR="00DA421A">
        <w:rPr>
          <w:rFonts w:ascii="Times New Roman" w:hAnsi="Times New Roman" w:cs="Times New Roman"/>
          <w:sz w:val="24"/>
          <w:szCs w:val="24"/>
        </w:rPr>
        <w:t xml:space="preserve">, a rare </w:t>
      </w:r>
      <w:r w:rsidR="000148D9">
        <w:rPr>
          <w:rFonts w:ascii="Times New Roman" w:hAnsi="Times New Roman" w:cs="Times New Roman"/>
          <w:sz w:val="24"/>
          <w:szCs w:val="24"/>
        </w:rPr>
        <w:t>occurrence</w:t>
      </w:r>
      <w:r w:rsidR="00363C43">
        <w:rPr>
          <w:rFonts w:ascii="Times New Roman" w:hAnsi="Times New Roman" w:cs="Times New Roman"/>
          <w:sz w:val="24"/>
          <w:szCs w:val="24"/>
        </w:rPr>
        <w:t xml:space="preserve">. </w:t>
      </w:r>
      <w:r w:rsidR="006A4276">
        <w:rPr>
          <w:rFonts w:ascii="Times New Roman" w:hAnsi="Times New Roman" w:cs="Times New Roman"/>
          <w:sz w:val="24"/>
          <w:szCs w:val="24"/>
        </w:rPr>
        <w:t>Block tuition applies regardless of the blend of enrollments.</w:t>
      </w:r>
    </w:p>
    <w:p w14:paraId="2C9879C3" w14:textId="3D4DD48E" w:rsidR="00363C43" w:rsidRPr="00876DFB" w:rsidRDefault="00286BF4" w:rsidP="00A644E4">
      <w:pPr>
        <w:pStyle w:val="ListParagraph"/>
        <w:numPr>
          <w:ilvl w:val="0"/>
          <w:numId w:val="16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existing </w:t>
      </w:r>
      <w:r w:rsidR="006A4276">
        <w:rPr>
          <w:rFonts w:ascii="Times New Roman" w:hAnsi="Times New Roman" w:cs="Times New Roman"/>
          <w:sz w:val="24"/>
          <w:szCs w:val="24"/>
        </w:rPr>
        <w:t xml:space="preserve">share </w:t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r w:rsidR="00A661E1">
        <w:rPr>
          <w:rFonts w:ascii="Times New Roman" w:hAnsi="Times New Roman" w:cs="Times New Roman"/>
          <w:sz w:val="24"/>
          <w:szCs w:val="24"/>
        </w:rPr>
        <w:t xml:space="preserve">which provides </w:t>
      </w:r>
      <w:r>
        <w:rPr>
          <w:rFonts w:ascii="Times New Roman" w:hAnsi="Times New Roman" w:cs="Times New Roman"/>
          <w:sz w:val="24"/>
          <w:szCs w:val="24"/>
        </w:rPr>
        <w:t xml:space="preserve">colleges 70% of </w:t>
      </w:r>
      <w:r w:rsidR="00A661E1">
        <w:rPr>
          <w:rFonts w:ascii="Times New Roman" w:hAnsi="Times New Roman" w:cs="Times New Roman"/>
          <w:sz w:val="24"/>
          <w:szCs w:val="24"/>
        </w:rPr>
        <w:t xml:space="preserve">online program seeker tuition remains </w:t>
      </w:r>
      <w:r w:rsidR="006A4276">
        <w:rPr>
          <w:rFonts w:ascii="Times New Roman" w:hAnsi="Times New Roman" w:cs="Times New Roman"/>
          <w:sz w:val="24"/>
          <w:szCs w:val="24"/>
        </w:rPr>
        <w:t>the same</w:t>
      </w:r>
      <w:r w:rsidR="00A661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EF2A73" w14:textId="3C1AC328" w:rsidR="156F51E5" w:rsidRDefault="156F51E5" w:rsidP="5E8C5E9D">
      <w:pPr>
        <w:pStyle w:val="ListParagraph"/>
        <w:numPr>
          <w:ilvl w:val="0"/>
          <w:numId w:val="16"/>
        </w:numPr>
        <w:spacing w:after="60"/>
        <w:rPr>
          <w:rFonts w:ascii="Times New Roman" w:eastAsia="Calibri" w:hAnsi="Times New Roman" w:cs="Times New Roman"/>
          <w:sz w:val="24"/>
          <w:szCs w:val="24"/>
        </w:rPr>
      </w:pPr>
      <w:r w:rsidRPr="5E8C5E9D">
        <w:rPr>
          <w:rFonts w:ascii="Times New Roman" w:eastAsia="Calibri" w:hAnsi="Times New Roman" w:cs="Times New Roman"/>
          <w:sz w:val="24"/>
          <w:szCs w:val="24"/>
        </w:rPr>
        <w:t xml:space="preserve">The established tuition rates of specific undergraduate programs do not change due to this proposal. </w:t>
      </w:r>
    </w:p>
    <w:p w14:paraId="5FC54688" w14:textId="77777777" w:rsidR="006C26D2" w:rsidRDefault="006C26D2" w:rsidP="00225C7F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F295C" w14:textId="77777777" w:rsidR="00011D2A" w:rsidRDefault="00011D2A" w:rsidP="00225C7F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D0318" w14:textId="77777777" w:rsidR="00594444" w:rsidRDefault="0021460C" w:rsidP="00225C7F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E91D4B" w:rsidRPr="00225C7F">
        <w:rPr>
          <w:rFonts w:ascii="Times New Roman" w:hAnsi="Times New Roman" w:cs="Times New Roman"/>
          <w:b/>
          <w:bCs/>
          <w:sz w:val="24"/>
          <w:szCs w:val="24"/>
        </w:rPr>
        <w:t xml:space="preserve">ationale for </w:t>
      </w:r>
      <w:r w:rsidR="004B3BF8" w:rsidRPr="004B3BF8">
        <w:rPr>
          <w:rFonts w:ascii="Times New Roman" w:hAnsi="Times New Roman" w:cs="Times New Roman"/>
          <w:b/>
          <w:bCs/>
          <w:sz w:val="24"/>
          <w:szCs w:val="24"/>
        </w:rPr>
        <w:t>Action 1:</w:t>
      </w:r>
      <w:r w:rsidR="00E91D4B" w:rsidRPr="004B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5B616F" w14:textId="18B04AA9" w:rsidR="00093358" w:rsidRPr="00225C7F" w:rsidRDefault="00BF4936" w:rsidP="00225C7F">
      <w:pPr>
        <w:spacing w:after="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3BF8">
        <w:rPr>
          <w:rFonts w:ascii="Times New Roman" w:hAnsi="Times New Roman" w:cs="Times New Roman"/>
          <w:b/>
          <w:bCs/>
          <w:sz w:val="24"/>
          <w:szCs w:val="24"/>
        </w:rPr>
        <w:t xml:space="preserve">Increase </w:t>
      </w:r>
      <w:r w:rsidR="006F03E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4B3BF8">
        <w:rPr>
          <w:rFonts w:ascii="Times New Roman" w:hAnsi="Times New Roman" w:cs="Times New Roman"/>
          <w:b/>
          <w:bCs/>
          <w:sz w:val="24"/>
          <w:szCs w:val="24"/>
        </w:rPr>
        <w:t xml:space="preserve">esident </w:t>
      </w:r>
      <w:r w:rsidR="006F03E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B3BF8">
        <w:rPr>
          <w:rFonts w:ascii="Times New Roman" w:hAnsi="Times New Roman" w:cs="Times New Roman"/>
          <w:b/>
          <w:bCs/>
          <w:sz w:val="24"/>
          <w:szCs w:val="24"/>
        </w:rPr>
        <w:t xml:space="preserve">nline </w:t>
      </w:r>
      <w:r w:rsidR="006F03E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B3BF8">
        <w:rPr>
          <w:rFonts w:ascii="Times New Roman" w:hAnsi="Times New Roman" w:cs="Times New Roman"/>
          <w:b/>
          <w:bCs/>
          <w:sz w:val="24"/>
          <w:szCs w:val="24"/>
        </w:rPr>
        <w:t xml:space="preserve">rogram </w:t>
      </w:r>
      <w:r w:rsidR="006F03E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B3BF8">
        <w:rPr>
          <w:rFonts w:ascii="Times New Roman" w:hAnsi="Times New Roman" w:cs="Times New Roman"/>
          <w:b/>
          <w:bCs/>
          <w:sz w:val="24"/>
          <w:szCs w:val="24"/>
        </w:rPr>
        <w:t xml:space="preserve">eeker </w:t>
      </w:r>
      <w:r w:rsidR="006F03E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4B3BF8">
        <w:rPr>
          <w:rFonts w:ascii="Times New Roman" w:hAnsi="Times New Roman" w:cs="Times New Roman"/>
          <w:b/>
          <w:bCs/>
          <w:sz w:val="24"/>
          <w:szCs w:val="24"/>
        </w:rPr>
        <w:t xml:space="preserve">uition </w:t>
      </w:r>
      <w:r w:rsidR="006F03E6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4B3BF8">
        <w:rPr>
          <w:rFonts w:ascii="Times New Roman" w:hAnsi="Times New Roman" w:cs="Times New Roman"/>
          <w:b/>
          <w:bCs/>
          <w:sz w:val="24"/>
          <w:szCs w:val="24"/>
        </w:rPr>
        <w:t xml:space="preserve">rom $160 to $199 </w:t>
      </w:r>
      <w:r w:rsidR="006F03E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B3BF8">
        <w:rPr>
          <w:rFonts w:ascii="Times New Roman" w:hAnsi="Times New Roman" w:cs="Times New Roman"/>
          <w:b/>
          <w:bCs/>
          <w:sz w:val="24"/>
          <w:szCs w:val="24"/>
        </w:rPr>
        <w:t xml:space="preserve">er </w:t>
      </w:r>
      <w:r w:rsidR="006F03E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4B3BF8">
        <w:rPr>
          <w:rFonts w:ascii="Times New Roman" w:hAnsi="Times New Roman" w:cs="Times New Roman"/>
          <w:b/>
          <w:bCs/>
          <w:sz w:val="24"/>
          <w:szCs w:val="24"/>
        </w:rPr>
        <w:t>redit</w:t>
      </w:r>
    </w:p>
    <w:p w14:paraId="714A7600" w14:textId="77777777" w:rsidR="00225C7F" w:rsidRPr="00225C7F" w:rsidRDefault="00225C7F" w:rsidP="00225C7F">
      <w:pPr>
        <w:spacing w:after="60"/>
        <w:rPr>
          <w:rFonts w:ascii="Times New Roman" w:hAnsi="Times New Roman" w:cs="Times New Roman"/>
          <w:i/>
          <w:iCs/>
          <w:sz w:val="24"/>
          <w:szCs w:val="24"/>
        </w:rPr>
      </w:pPr>
    </w:p>
    <w:p w14:paraId="5B4F5A30" w14:textId="6A2C2795" w:rsidR="00BB7373" w:rsidRDefault="00B15CE3" w:rsidP="006C26D2">
      <w:pPr>
        <w:pStyle w:val="ListParagraph"/>
        <w:numPr>
          <w:ilvl w:val="0"/>
          <w:numId w:val="11"/>
        </w:numPr>
        <w:spacing w:after="60"/>
        <w:ind w:left="360"/>
        <w:rPr>
          <w:rFonts w:ascii="Times New Roman" w:hAnsi="Times New Roman" w:cs="Times New Roman"/>
          <w:sz w:val="24"/>
          <w:szCs w:val="24"/>
        </w:rPr>
      </w:pPr>
      <w:r w:rsidRPr="00BB7373">
        <w:rPr>
          <w:rFonts w:ascii="Times New Roman" w:hAnsi="Times New Roman" w:cs="Times New Roman"/>
          <w:sz w:val="24"/>
          <w:szCs w:val="24"/>
        </w:rPr>
        <w:t xml:space="preserve">Pursuing </w:t>
      </w:r>
      <w:r w:rsidR="004F3C9C" w:rsidRPr="00BB7373">
        <w:rPr>
          <w:rFonts w:ascii="Times New Roman" w:hAnsi="Times New Roman" w:cs="Times New Roman"/>
          <w:sz w:val="24"/>
          <w:szCs w:val="24"/>
        </w:rPr>
        <w:t>a</w:t>
      </w:r>
      <w:r w:rsidR="006F03E6">
        <w:rPr>
          <w:rFonts w:ascii="Times New Roman" w:hAnsi="Times New Roman" w:cs="Times New Roman"/>
          <w:sz w:val="24"/>
          <w:szCs w:val="24"/>
        </w:rPr>
        <w:t xml:space="preserve"> UW </w:t>
      </w:r>
      <w:r w:rsidRPr="00BB7373">
        <w:rPr>
          <w:rFonts w:ascii="Times New Roman" w:hAnsi="Times New Roman" w:cs="Times New Roman"/>
          <w:sz w:val="24"/>
          <w:szCs w:val="24"/>
        </w:rPr>
        <w:t>online program</w:t>
      </w:r>
      <w:r w:rsidR="00FB41D4" w:rsidRPr="00BB7373">
        <w:rPr>
          <w:rFonts w:ascii="Times New Roman" w:hAnsi="Times New Roman" w:cs="Times New Roman"/>
          <w:sz w:val="24"/>
          <w:szCs w:val="24"/>
        </w:rPr>
        <w:t xml:space="preserve"> </w:t>
      </w:r>
      <w:r w:rsidRPr="00BB7373">
        <w:rPr>
          <w:rFonts w:ascii="Times New Roman" w:hAnsi="Times New Roman" w:cs="Times New Roman"/>
          <w:sz w:val="24"/>
          <w:szCs w:val="24"/>
        </w:rPr>
        <w:t xml:space="preserve">is currently more affordable than </w:t>
      </w:r>
      <w:r w:rsidR="004F3C9C" w:rsidRPr="00BB7373">
        <w:rPr>
          <w:rFonts w:ascii="Times New Roman" w:hAnsi="Times New Roman" w:cs="Times New Roman"/>
          <w:sz w:val="24"/>
          <w:szCs w:val="24"/>
        </w:rPr>
        <w:t xml:space="preserve">an </w:t>
      </w:r>
      <w:r w:rsidR="005B6583" w:rsidRPr="00BB7373">
        <w:rPr>
          <w:rFonts w:ascii="Times New Roman" w:hAnsi="Times New Roman" w:cs="Times New Roman"/>
          <w:sz w:val="24"/>
          <w:szCs w:val="24"/>
        </w:rPr>
        <w:t>in-person</w:t>
      </w:r>
      <w:r w:rsidRPr="00BB7373">
        <w:rPr>
          <w:rFonts w:ascii="Times New Roman" w:hAnsi="Times New Roman" w:cs="Times New Roman"/>
          <w:sz w:val="24"/>
          <w:szCs w:val="24"/>
        </w:rPr>
        <w:t xml:space="preserve"> program for </w:t>
      </w:r>
      <w:r w:rsidR="00621AAC" w:rsidRPr="00BB7373">
        <w:rPr>
          <w:rFonts w:ascii="Times New Roman" w:hAnsi="Times New Roman" w:cs="Times New Roman"/>
          <w:sz w:val="24"/>
          <w:szCs w:val="24"/>
        </w:rPr>
        <w:t xml:space="preserve">Wyoming </w:t>
      </w:r>
      <w:r w:rsidR="00FB41D4" w:rsidRPr="00BB7373">
        <w:rPr>
          <w:rFonts w:ascii="Times New Roman" w:hAnsi="Times New Roman" w:cs="Times New Roman"/>
          <w:sz w:val="24"/>
          <w:szCs w:val="24"/>
        </w:rPr>
        <w:t>resident</w:t>
      </w:r>
      <w:r w:rsidR="00621AAC" w:rsidRPr="00BB7373">
        <w:rPr>
          <w:rFonts w:ascii="Times New Roman" w:hAnsi="Times New Roman" w:cs="Times New Roman"/>
          <w:sz w:val="24"/>
          <w:szCs w:val="24"/>
        </w:rPr>
        <w:t>s</w:t>
      </w:r>
      <w:r w:rsidR="0091422A" w:rsidRPr="00BB73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26C0B7" w14:textId="1C0E69A6" w:rsidR="00312A9C" w:rsidRPr="00BB7373" w:rsidRDefault="00312A9C" w:rsidP="00312A9C">
      <w:pPr>
        <w:pStyle w:val="ListParagraph"/>
        <w:spacing w:after="6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910" w:type="dxa"/>
        <w:tblInd w:w="355" w:type="dxa"/>
        <w:tblLook w:val="04A0" w:firstRow="1" w:lastRow="0" w:firstColumn="1" w:lastColumn="0" w:noHBand="0" w:noVBand="1"/>
      </w:tblPr>
      <w:tblGrid>
        <w:gridCol w:w="1170"/>
        <w:gridCol w:w="1800"/>
        <w:gridCol w:w="2070"/>
        <w:gridCol w:w="1800"/>
        <w:gridCol w:w="2070"/>
      </w:tblGrid>
      <w:tr w:rsidR="00BB7373" w:rsidRPr="00E56CA0" w14:paraId="6FBC613C" w14:textId="77777777" w:rsidTr="006C26D2">
        <w:trPr>
          <w:trHeight w:val="57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9946FB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_Hlk132352141"/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Credits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44C5A2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395E960B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CURRENT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Undergraduate Resident </w:t>
            </w: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In-Person Program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Seeker</w:t>
            </w: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CAEF4B1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CURRENT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Undergraduate Resident Online</w:t>
            </w: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Program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Seeker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EEE1C31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RECOMMENDED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Undergraduate Resident Online</w:t>
            </w: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Program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Seeker</w:t>
            </w:r>
          </w:p>
        </w:tc>
      </w:tr>
      <w:tr w:rsidR="00BB7373" w:rsidRPr="00E56CA0" w14:paraId="18A7236A" w14:textId="77777777" w:rsidTr="006C26D2">
        <w:trPr>
          <w:trHeight w:val="280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280B" w14:textId="77777777" w:rsidR="00BB7373" w:rsidRPr="00E56CA0" w:rsidRDefault="00BB7373" w:rsidP="001F4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018A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Tuition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F947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$160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F315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$160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41C0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$199</w:t>
            </w:r>
          </w:p>
        </w:tc>
      </w:tr>
      <w:tr w:rsidR="00BB7373" w:rsidRPr="00E56CA0" w14:paraId="38996F18" w14:textId="77777777" w:rsidTr="006C26D2">
        <w:trPr>
          <w:trHeight w:val="28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669FB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9F2C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Fees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1E6C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$133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DAFE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$55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203D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$85</w:t>
            </w:r>
          </w:p>
        </w:tc>
      </w:tr>
      <w:tr w:rsidR="00BB7373" w:rsidRPr="00E56CA0" w14:paraId="5A1B02EA" w14:textId="77777777" w:rsidTr="006C26D2">
        <w:trPr>
          <w:trHeight w:val="28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7C8A1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B8F4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C5B35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$293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CFAE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$215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0E5E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$284</w:t>
            </w:r>
          </w:p>
        </w:tc>
      </w:tr>
      <w:tr w:rsidR="00BB7373" w:rsidRPr="00E56CA0" w14:paraId="6F78276F" w14:textId="77777777" w:rsidTr="006C26D2">
        <w:trPr>
          <w:trHeight w:val="280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4BB1E2" w14:textId="77777777" w:rsidR="00BB7373" w:rsidRPr="00E56CA0" w:rsidRDefault="00BB7373" w:rsidP="001F4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F41400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Tuition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9B0293A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$480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2A7F1E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$480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5B9536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$597</w:t>
            </w:r>
          </w:p>
        </w:tc>
      </w:tr>
      <w:tr w:rsidR="00BB7373" w:rsidRPr="00E56CA0" w14:paraId="1F950FDD" w14:textId="77777777" w:rsidTr="006C26D2">
        <w:trPr>
          <w:trHeight w:val="28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BFF6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0A3D46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Fees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FDD787A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$218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63B631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$165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512F6C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$255</w:t>
            </w:r>
          </w:p>
        </w:tc>
      </w:tr>
      <w:tr w:rsidR="00BB7373" w:rsidRPr="00E56CA0" w14:paraId="43DADCED" w14:textId="77777777" w:rsidTr="006C26D2">
        <w:trPr>
          <w:trHeight w:val="28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E4BA8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F9329D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0178EEB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$698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D2BE11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$645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D24CD8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$852</w:t>
            </w:r>
          </w:p>
        </w:tc>
      </w:tr>
      <w:tr w:rsidR="00BB7373" w:rsidRPr="00E56CA0" w14:paraId="76B181FF" w14:textId="77777777" w:rsidTr="006C26D2">
        <w:trPr>
          <w:trHeight w:val="280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5481" w14:textId="77777777" w:rsidR="00BB7373" w:rsidRPr="00E56CA0" w:rsidRDefault="00BB7373" w:rsidP="001F4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9BA0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Tuition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1CE6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$960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59E1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$960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DAAA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$1,194</w:t>
            </w:r>
          </w:p>
        </w:tc>
      </w:tr>
      <w:tr w:rsidR="00BB7373" w:rsidRPr="00E56CA0" w14:paraId="4D902283" w14:textId="77777777" w:rsidTr="006C26D2">
        <w:trPr>
          <w:trHeight w:val="28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51677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8C67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Fees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159A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$820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61AD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$330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148C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$510</w:t>
            </w:r>
          </w:p>
        </w:tc>
      </w:tr>
      <w:tr w:rsidR="00BB7373" w:rsidRPr="00E56CA0" w14:paraId="35DA9FDA" w14:textId="77777777" w:rsidTr="006C26D2">
        <w:trPr>
          <w:trHeight w:val="28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8EBC2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4817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F99A8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$1,780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B340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$1,290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6355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$1,704</w:t>
            </w:r>
          </w:p>
        </w:tc>
      </w:tr>
      <w:tr w:rsidR="00BB7373" w:rsidRPr="00E56CA0" w14:paraId="1B860498" w14:textId="77777777" w:rsidTr="006C26D2">
        <w:trPr>
          <w:trHeight w:val="280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333E39" w14:textId="77777777" w:rsidR="00BB7373" w:rsidRPr="00E56CA0" w:rsidRDefault="00BB7373" w:rsidP="001F4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E6C3E3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Tuition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EF59144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$1,440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D2A137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$1,440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7F87B5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$1,791</w:t>
            </w:r>
          </w:p>
        </w:tc>
      </w:tr>
      <w:tr w:rsidR="00BB7373" w:rsidRPr="00E56CA0" w14:paraId="45E94B4B" w14:textId="77777777" w:rsidTr="006C26D2">
        <w:trPr>
          <w:trHeight w:val="28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0CE3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DA6038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Fees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CAA12A4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$820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9A16AA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$495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643F9D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$765</w:t>
            </w:r>
          </w:p>
        </w:tc>
      </w:tr>
      <w:tr w:rsidR="00BB7373" w:rsidRPr="00E56CA0" w14:paraId="6326F869" w14:textId="77777777" w:rsidTr="006C26D2">
        <w:trPr>
          <w:trHeight w:val="28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A4D3F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722AED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8E5930D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$2,260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47221B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$1,935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F42B1E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$2,556</w:t>
            </w:r>
          </w:p>
        </w:tc>
      </w:tr>
      <w:tr w:rsidR="00BB7373" w:rsidRPr="00E56CA0" w14:paraId="28D68B18" w14:textId="77777777" w:rsidTr="006C26D2">
        <w:trPr>
          <w:trHeight w:val="280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BE2A" w14:textId="77777777" w:rsidR="00BB7373" w:rsidRPr="00E56CA0" w:rsidRDefault="00BB7373" w:rsidP="001F4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5248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Tuition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8C1D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$2,400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2D53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$2,400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7523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$2,388</w:t>
            </w:r>
          </w:p>
        </w:tc>
      </w:tr>
      <w:tr w:rsidR="00BB7373" w:rsidRPr="00E56CA0" w14:paraId="29AC894E" w14:textId="77777777" w:rsidTr="006C26D2">
        <w:trPr>
          <w:trHeight w:val="28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2E738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1E79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Fees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B43E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$820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6F6A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$660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F486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$1,020</w:t>
            </w:r>
          </w:p>
        </w:tc>
      </w:tr>
      <w:tr w:rsidR="00BB7373" w:rsidRPr="00E56CA0" w14:paraId="6CDA144F" w14:textId="77777777" w:rsidTr="006C26D2">
        <w:trPr>
          <w:trHeight w:val="28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C39E5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E7BF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87741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$3,220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F5E4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$3,060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20A4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$3,408</w:t>
            </w:r>
          </w:p>
        </w:tc>
      </w:tr>
      <w:tr w:rsidR="00BB7373" w:rsidRPr="00E56CA0" w14:paraId="7D5304A4" w14:textId="77777777" w:rsidTr="006C26D2">
        <w:trPr>
          <w:trHeight w:val="280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4A07A6" w14:textId="77777777" w:rsidR="00BB7373" w:rsidRPr="00E56CA0" w:rsidRDefault="00BB7373" w:rsidP="001F4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1422FB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Tuition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38EA917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$2,400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F989C8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$2,400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27A0DD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$2,985</w:t>
            </w:r>
          </w:p>
        </w:tc>
      </w:tr>
      <w:tr w:rsidR="00BB7373" w:rsidRPr="00E56CA0" w14:paraId="04A53A28" w14:textId="77777777" w:rsidTr="006C26D2">
        <w:trPr>
          <w:trHeight w:val="28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5F6EB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3E9294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Fees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C89FF53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$820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14D88A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$825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C3E140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$1,275</w:t>
            </w:r>
          </w:p>
        </w:tc>
      </w:tr>
      <w:tr w:rsidR="00BB7373" w:rsidRPr="00E56CA0" w14:paraId="0367115E" w14:textId="77777777" w:rsidTr="006C26D2">
        <w:trPr>
          <w:trHeight w:val="28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4C535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FE5055" w14:textId="77777777" w:rsidR="00BB7373" w:rsidRPr="00E56CA0" w:rsidRDefault="00BB7373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D5C8AB2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$3,220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41A2E3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$3,225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12983C" w14:textId="77777777" w:rsidR="00BB7373" w:rsidRPr="00E56CA0" w:rsidRDefault="00BB7373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$4,260</w:t>
            </w:r>
          </w:p>
        </w:tc>
      </w:tr>
      <w:bookmarkEnd w:id="0"/>
    </w:tbl>
    <w:p w14:paraId="7083279B" w14:textId="77777777" w:rsidR="006C26D2" w:rsidRPr="008B76AB" w:rsidRDefault="006C26D2" w:rsidP="006C26D2">
      <w:pPr>
        <w:spacing w:after="60"/>
        <w:rPr>
          <w:rFonts w:ascii="Times New Roman" w:eastAsia="Times New Roman" w:hAnsi="Times New Roman" w:cs="Times New Roman"/>
        </w:rPr>
        <w:sectPr w:rsidR="006C26D2" w:rsidRPr="008B76AB" w:rsidSect="006C26D2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ED6701" w14:textId="4605D724" w:rsidR="006C26D2" w:rsidRDefault="006C26D2" w:rsidP="006E4F29">
      <w:pPr>
        <w:pStyle w:val="ListParagraph"/>
        <w:numPr>
          <w:ilvl w:val="0"/>
          <w:numId w:val="11"/>
        </w:numPr>
        <w:spacing w:after="60"/>
        <w:ind w:left="360"/>
        <w:rPr>
          <w:rFonts w:ascii="Times New Roman" w:hAnsi="Times New Roman" w:cs="Times New Roman"/>
          <w:sz w:val="24"/>
          <w:szCs w:val="24"/>
        </w:rPr>
      </w:pPr>
      <w:r w:rsidRPr="001041A1">
        <w:rPr>
          <w:rFonts w:ascii="Times New Roman" w:hAnsi="Times New Roman" w:cs="Times New Roman"/>
          <w:sz w:val="24"/>
          <w:szCs w:val="24"/>
        </w:rPr>
        <w:lastRenderedPageBreak/>
        <w:t xml:space="preserve">Colleges are not receiving the needed tuition revenue to support online programs. </w:t>
      </w:r>
    </w:p>
    <w:p w14:paraId="19957518" w14:textId="54AF3E44" w:rsidR="006C26D2" w:rsidRDefault="006C26D2" w:rsidP="006E4F29">
      <w:pPr>
        <w:pStyle w:val="ListParagraph"/>
        <w:numPr>
          <w:ilvl w:val="0"/>
          <w:numId w:val="11"/>
        </w:numPr>
        <w:spacing w:after="60"/>
        <w:ind w:left="360"/>
        <w:rPr>
          <w:rFonts w:ascii="Times New Roman" w:hAnsi="Times New Roman" w:cs="Times New Roman"/>
          <w:sz w:val="24"/>
          <w:szCs w:val="24"/>
        </w:rPr>
      </w:pPr>
      <w:r w:rsidRPr="006C26D2">
        <w:rPr>
          <w:rFonts w:ascii="Times New Roman" w:hAnsi="Times New Roman" w:cs="Times New Roman"/>
          <w:sz w:val="24"/>
          <w:szCs w:val="24"/>
        </w:rPr>
        <w:t xml:space="preserve">The recommended actions increase revenue to </w:t>
      </w:r>
      <w:r w:rsidR="009F7B1A">
        <w:rPr>
          <w:rFonts w:ascii="Times New Roman" w:hAnsi="Times New Roman" w:cs="Times New Roman"/>
          <w:sz w:val="24"/>
          <w:szCs w:val="24"/>
        </w:rPr>
        <w:t>colleges</w:t>
      </w:r>
      <w:r w:rsidR="004640F6">
        <w:rPr>
          <w:rFonts w:ascii="Times New Roman" w:hAnsi="Times New Roman" w:cs="Times New Roman"/>
          <w:sz w:val="24"/>
          <w:szCs w:val="24"/>
        </w:rPr>
        <w:t xml:space="preserve">, academic departments, and </w:t>
      </w:r>
      <w:r w:rsidRPr="006C26D2">
        <w:rPr>
          <w:rFonts w:ascii="Times New Roman" w:hAnsi="Times New Roman" w:cs="Times New Roman"/>
          <w:sz w:val="24"/>
          <w:szCs w:val="24"/>
        </w:rPr>
        <w:t>the central budget.</w:t>
      </w:r>
    </w:p>
    <w:p w14:paraId="10B47D16" w14:textId="77777777" w:rsidR="00312A9C" w:rsidRDefault="00312A9C" w:rsidP="00312A9C">
      <w:pPr>
        <w:pStyle w:val="ListParagraph"/>
        <w:spacing w:after="6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269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2340"/>
        <w:gridCol w:w="1530"/>
        <w:gridCol w:w="990"/>
        <w:gridCol w:w="1080"/>
        <w:gridCol w:w="1170"/>
        <w:gridCol w:w="990"/>
        <w:gridCol w:w="1350"/>
        <w:gridCol w:w="1080"/>
        <w:gridCol w:w="1080"/>
        <w:gridCol w:w="1080"/>
      </w:tblGrid>
      <w:tr w:rsidR="006C26D2" w:rsidRPr="008B76AB" w14:paraId="16CC4B5A" w14:textId="77777777" w:rsidTr="006E4F29">
        <w:trPr>
          <w:trHeight w:val="11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221BBD8" w14:textId="07ABE433" w:rsidR="006C26D2" w:rsidRPr="008B76AB" w:rsidRDefault="000B6ABA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Online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Course </w:t>
            </w:r>
            <w:r w:rsidR="006F3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Section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Scenarios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3304701" w14:textId="77777777" w:rsidR="006C26D2" w:rsidRPr="008B76AB" w:rsidRDefault="006C26D2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Undergrad Resident/ Nonresident Online Model Options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BFBFBF"/>
            <w:vAlign w:val="bottom"/>
            <w:hideMark/>
          </w:tcPr>
          <w:p w14:paraId="2E20BCAB" w14:textId="77777777" w:rsidR="006C26D2" w:rsidRPr="008B76AB" w:rsidRDefault="006C26D2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Tuition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vAlign w:val="bottom"/>
            <w:hideMark/>
          </w:tcPr>
          <w:p w14:paraId="38F2B4A7" w14:textId="77777777" w:rsidR="006C26D2" w:rsidRPr="008B76AB" w:rsidRDefault="006C26D2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Tuition From Online Learners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vAlign w:val="bottom"/>
            <w:hideMark/>
          </w:tcPr>
          <w:p w14:paraId="52093DEA" w14:textId="77777777" w:rsidR="006C26D2" w:rsidRPr="008B76AB" w:rsidRDefault="006C26D2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70% Online Tuition to College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7990C47" w14:textId="77777777" w:rsidR="006C26D2" w:rsidRPr="008B76AB" w:rsidRDefault="006C26D2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30% Online Tuition to Central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578EA91" w14:textId="77777777" w:rsidR="006C26D2" w:rsidRPr="008B76AB" w:rsidRDefault="006C26D2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Instruction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  <w:r w:rsidRPr="008B7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BFBFBF"/>
            <w:vAlign w:val="bottom"/>
            <w:hideMark/>
          </w:tcPr>
          <w:p w14:paraId="1ACB904C" w14:textId="77777777" w:rsidR="006C26D2" w:rsidRPr="008B76AB" w:rsidRDefault="006C26D2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Net College Revenue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vAlign w:val="bottom"/>
            <w:hideMark/>
          </w:tcPr>
          <w:p w14:paraId="0E6B825D" w14:textId="77777777" w:rsidR="006C26D2" w:rsidRPr="008B76AB" w:rsidRDefault="006C26D2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Net Dept. Fee Revenue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D74D997" w14:textId="77777777" w:rsidR="006C26D2" w:rsidRPr="008B76AB" w:rsidRDefault="006C26D2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College/ Dept. Revenue</w:t>
            </w:r>
          </w:p>
        </w:tc>
      </w:tr>
      <w:tr w:rsidR="007844A2" w:rsidRPr="007844A2" w14:paraId="0223590C" w14:textId="77777777" w:rsidTr="006E4F29">
        <w:trPr>
          <w:trHeight w:val="827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78D6" w14:textId="77777777" w:rsidR="006C26D2" w:rsidRPr="007844A2" w:rsidRDefault="006C26D2" w:rsidP="001F42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44A2">
              <w:rPr>
                <w:rFonts w:ascii="Times New Roman" w:eastAsia="Times New Roman" w:hAnsi="Times New Roman" w:cs="Times New Roman"/>
                <w:b/>
                <w:bCs/>
              </w:rPr>
              <w:t xml:space="preserve">Scenario 1: </w:t>
            </w:r>
            <w:r w:rsidRPr="007844A2">
              <w:rPr>
                <w:rFonts w:ascii="Times New Roman" w:eastAsia="Times New Roman" w:hAnsi="Times New Roman" w:cs="Times New Roman"/>
              </w:rPr>
              <w:t xml:space="preserve">Current Online Section Student Mix - 15 In-Person (10 Res/5 </w:t>
            </w:r>
            <w:proofErr w:type="spellStart"/>
            <w:r w:rsidRPr="007844A2">
              <w:rPr>
                <w:rFonts w:ascii="Times New Roman" w:eastAsia="Times New Roman" w:hAnsi="Times New Roman" w:cs="Times New Roman"/>
              </w:rPr>
              <w:t>Nonres</w:t>
            </w:r>
            <w:proofErr w:type="spellEnd"/>
            <w:r w:rsidRPr="007844A2">
              <w:rPr>
                <w:rFonts w:ascii="Times New Roman" w:eastAsia="Times New Roman" w:hAnsi="Times New Roman" w:cs="Times New Roman"/>
              </w:rPr>
              <w:t xml:space="preserve">) and 10 Online (7 Res/3 </w:t>
            </w:r>
            <w:proofErr w:type="spellStart"/>
            <w:r w:rsidRPr="007844A2">
              <w:rPr>
                <w:rFonts w:ascii="Times New Roman" w:eastAsia="Times New Roman" w:hAnsi="Times New Roman" w:cs="Times New Roman"/>
              </w:rPr>
              <w:t>Nonres</w:t>
            </w:r>
            <w:proofErr w:type="spellEnd"/>
            <w:r w:rsidRPr="007844A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8BFA" w14:textId="77777777" w:rsidR="006C26D2" w:rsidRPr="007844A2" w:rsidRDefault="006C26D2" w:rsidP="001F427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44A2">
              <w:rPr>
                <w:rFonts w:ascii="Times New Roman" w:eastAsia="Times New Roman" w:hAnsi="Times New Roman" w:cs="Times New Roman"/>
                <w:i/>
                <w:iCs/>
              </w:rPr>
              <w:t>$160/$345 -     Current Model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AE51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$21,240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319D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$6,465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4C38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$4,526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E7AC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$1,940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778B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$4,500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E2F7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$26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04E8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16B1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44A2">
              <w:rPr>
                <w:rFonts w:ascii="Times New Roman" w:eastAsia="Times New Roman" w:hAnsi="Times New Roman" w:cs="Times New Roman"/>
                <w:b/>
                <w:bCs/>
              </w:rPr>
              <w:t>$26</w:t>
            </w:r>
          </w:p>
        </w:tc>
      </w:tr>
      <w:tr w:rsidR="007844A2" w:rsidRPr="007844A2" w14:paraId="15932532" w14:textId="77777777" w:rsidTr="006E4F29">
        <w:trPr>
          <w:trHeight w:val="44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BE58C" w14:textId="77777777" w:rsidR="006C26D2" w:rsidRPr="007844A2" w:rsidRDefault="006C26D2" w:rsidP="001F42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EA94" w14:textId="77777777" w:rsidR="006C26D2" w:rsidRPr="007844A2" w:rsidRDefault="006C26D2" w:rsidP="001F427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44A2">
              <w:rPr>
                <w:rFonts w:ascii="Times New Roman" w:eastAsia="Times New Roman" w:hAnsi="Times New Roman" w:cs="Times New Roman"/>
                <w:i/>
                <w:iCs/>
              </w:rPr>
              <w:t>$199/$289             With $30 Fee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FB84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$21,555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E94C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$6,780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C320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$4,746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9D81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$2,034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59DF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$4,500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8B2B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$246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AB36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$750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3877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44A2">
              <w:rPr>
                <w:rFonts w:ascii="Times New Roman" w:eastAsia="Times New Roman" w:hAnsi="Times New Roman" w:cs="Times New Roman"/>
                <w:b/>
                <w:bCs/>
              </w:rPr>
              <w:t>$996</w:t>
            </w:r>
          </w:p>
        </w:tc>
      </w:tr>
      <w:tr w:rsidR="007844A2" w:rsidRPr="007844A2" w14:paraId="30DBDC68" w14:textId="77777777" w:rsidTr="006E4F29">
        <w:trPr>
          <w:trHeight w:val="647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069B4C" w14:textId="77777777" w:rsidR="006C26D2" w:rsidRPr="007844A2" w:rsidRDefault="006C26D2" w:rsidP="001F42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44A2">
              <w:rPr>
                <w:rFonts w:ascii="Times New Roman" w:eastAsia="Times New Roman" w:hAnsi="Times New Roman" w:cs="Times New Roman"/>
                <w:b/>
                <w:bCs/>
              </w:rPr>
              <w:t xml:space="preserve">Scenario 2: </w:t>
            </w:r>
            <w:r w:rsidRPr="007844A2">
              <w:rPr>
                <w:rFonts w:ascii="Times New Roman" w:eastAsia="Times New Roman" w:hAnsi="Times New Roman" w:cs="Times New Roman"/>
              </w:rPr>
              <w:t xml:space="preserve">Due to Increased Demand, 5 In-Person (4 Res/1 </w:t>
            </w:r>
            <w:proofErr w:type="spellStart"/>
            <w:r w:rsidRPr="007844A2">
              <w:rPr>
                <w:rFonts w:ascii="Times New Roman" w:eastAsia="Times New Roman" w:hAnsi="Times New Roman" w:cs="Times New Roman"/>
              </w:rPr>
              <w:t>Nonres</w:t>
            </w:r>
            <w:proofErr w:type="spellEnd"/>
            <w:r w:rsidRPr="007844A2">
              <w:rPr>
                <w:rFonts w:ascii="Times New Roman" w:eastAsia="Times New Roman" w:hAnsi="Times New Roman" w:cs="Times New Roman"/>
              </w:rPr>
              <w:t xml:space="preserve">) and 20 Online (14 Res/6 </w:t>
            </w:r>
            <w:proofErr w:type="spellStart"/>
            <w:r w:rsidRPr="007844A2">
              <w:rPr>
                <w:rFonts w:ascii="Times New Roman" w:eastAsia="Times New Roman" w:hAnsi="Times New Roman" w:cs="Times New Roman"/>
              </w:rPr>
              <w:t>Nonres</w:t>
            </w:r>
            <w:proofErr w:type="spellEnd"/>
            <w:r w:rsidRPr="007844A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808BED" w14:textId="77777777" w:rsidR="006C26D2" w:rsidRPr="007844A2" w:rsidRDefault="006C26D2" w:rsidP="001F427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44A2">
              <w:rPr>
                <w:rFonts w:ascii="Times New Roman" w:eastAsia="Times New Roman" w:hAnsi="Times New Roman" w:cs="Times New Roman"/>
                <w:i/>
                <w:iCs/>
              </w:rPr>
              <w:t>$160/$345 -     Current Model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84CA5A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$16,845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53D4EE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$12,930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1CA06D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$9,051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435A13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$3,879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E37AFF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$4,500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F25849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$4,551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31C596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75AF89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44A2">
              <w:rPr>
                <w:rFonts w:ascii="Times New Roman" w:eastAsia="Times New Roman" w:hAnsi="Times New Roman" w:cs="Times New Roman"/>
                <w:b/>
                <w:bCs/>
              </w:rPr>
              <w:t>$4,551</w:t>
            </w:r>
          </w:p>
        </w:tc>
      </w:tr>
      <w:tr w:rsidR="007844A2" w:rsidRPr="007844A2" w14:paraId="245A4F31" w14:textId="77777777" w:rsidTr="006E4F29">
        <w:trPr>
          <w:trHeight w:val="692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601D" w14:textId="77777777" w:rsidR="006C26D2" w:rsidRPr="007844A2" w:rsidRDefault="006C26D2" w:rsidP="001F42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AB2CAC" w14:textId="77777777" w:rsidR="006C26D2" w:rsidRPr="007844A2" w:rsidRDefault="006C26D2" w:rsidP="001F427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44A2">
              <w:rPr>
                <w:rFonts w:ascii="Times New Roman" w:eastAsia="Times New Roman" w:hAnsi="Times New Roman" w:cs="Times New Roman"/>
                <w:i/>
                <w:iCs/>
              </w:rPr>
              <w:t>$199/$289             With $30 Fee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DDB14D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$17,475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E7C9B1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$13,560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31424D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$9,492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C943E3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$4,068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3E32FB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$4,500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36BE06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$4,992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24A2CD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844A2">
              <w:rPr>
                <w:rFonts w:ascii="Times New Roman" w:eastAsia="Times New Roman" w:hAnsi="Times New Roman" w:cs="Times New Roman"/>
              </w:rPr>
              <w:t>$750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867C45" w14:textId="77777777" w:rsidR="006C26D2" w:rsidRPr="007844A2" w:rsidRDefault="006C26D2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44A2">
              <w:rPr>
                <w:rFonts w:ascii="Times New Roman" w:eastAsia="Times New Roman" w:hAnsi="Times New Roman" w:cs="Times New Roman"/>
                <w:b/>
                <w:bCs/>
              </w:rPr>
              <w:t>$5,742</w:t>
            </w:r>
          </w:p>
        </w:tc>
      </w:tr>
    </w:tbl>
    <w:p w14:paraId="51AAD247" w14:textId="77777777" w:rsidR="006D2DE4" w:rsidRDefault="006D2DE4" w:rsidP="006E4F29">
      <w:pPr>
        <w:spacing w:after="60"/>
        <w:ind w:left="360"/>
        <w:rPr>
          <w:rFonts w:ascii="Times New Roman" w:eastAsia="Times New Roman" w:hAnsi="Times New Roman" w:cs="Times New Roman"/>
        </w:rPr>
      </w:pPr>
    </w:p>
    <w:p w14:paraId="437A1D9B" w14:textId="765262F2" w:rsidR="006D2DE4" w:rsidRPr="006C26D2" w:rsidRDefault="006D2DE4" w:rsidP="006E4F29">
      <w:pPr>
        <w:spacing w:after="60"/>
        <w:ind w:left="360"/>
        <w:rPr>
          <w:rFonts w:ascii="Times New Roman" w:eastAsia="Times New Roman" w:hAnsi="Times New Roman" w:cs="Times New Roman"/>
        </w:rPr>
        <w:sectPr w:rsidR="006D2DE4" w:rsidRPr="006C26D2" w:rsidSect="000E243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0F305D8" w14:textId="77777777" w:rsidR="006C26D2" w:rsidRPr="006C26D2" w:rsidRDefault="006C26D2" w:rsidP="006C26D2">
      <w:pPr>
        <w:pStyle w:val="ListParagraph"/>
        <w:spacing w:after="60"/>
        <w:ind w:left="450"/>
        <w:rPr>
          <w:rFonts w:ascii="Times New Roman" w:hAnsi="Times New Roman" w:cs="Times New Roman"/>
          <w:sz w:val="24"/>
          <w:szCs w:val="24"/>
        </w:rPr>
      </w:pPr>
    </w:p>
    <w:p w14:paraId="6E2308B6" w14:textId="3533CA30" w:rsidR="00DE701B" w:rsidRPr="00312A9C" w:rsidRDefault="00750766" w:rsidP="006E4F29">
      <w:pPr>
        <w:pStyle w:val="ListParagraph"/>
        <w:numPr>
          <w:ilvl w:val="0"/>
          <w:numId w:val="11"/>
        </w:numPr>
        <w:spacing w:after="6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E701B">
        <w:rPr>
          <w:rFonts w:ascii="Times New Roman" w:hAnsi="Times New Roman" w:cs="Times New Roman"/>
          <w:sz w:val="24"/>
          <w:szCs w:val="24"/>
        </w:rPr>
        <w:t>Based on</w:t>
      </w:r>
      <w:r w:rsidR="00D277C9" w:rsidRPr="00DE701B">
        <w:rPr>
          <w:rFonts w:ascii="Times New Roman" w:hAnsi="Times New Roman" w:cs="Times New Roman"/>
          <w:sz w:val="24"/>
          <w:szCs w:val="24"/>
        </w:rPr>
        <w:t xml:space="preserve"> regional community college/land grant </w:t>
      </w:r>
      <w:r w:rsidRPr="00DE701B">
        <w:rPr>
          <w:rFonts w:ascii="Times New Roman" w:hAnsi="Times New Roman" w:cs="Times New Roman"/>
          <w:sz w:val="24"/>
          <w:szCs w:val="24"/>
        </w:rPr>
        <w:t>tuition and fee</w:t>
      </w:r>
      <w:r w:rsidR="00D277C9" w:rsidRPr="00DE701B">
        <w:rPr>
          <w:rFonts w:ascii="Times New Roman" w:hAnsi="Times New Roman" w:cs="Times New Roman"/>
          <w:sz w:val="24"/>
          <w:szCs w:val="24"/>
        </w:rPr>
        <w:t xml:space="preserve"> </w:t>
      </w:r>
      <w:r w:rsidR="00A25570" w:rsidRPr="00DE701B">
        <w:rPr>
          <w:rFonts w:ascii="Times New Roman" w:hAnsi="Times New Roman" w:cs="Times New Roman"/>
          <w:sz w:val="24"/>
          <w:szCs w:val="24"/>
        </w:rPr>
        <w:t>ratios</w:t>
      </w:r>
      <w:r w:rsidR="00D277C9" w:rsidRPr="00DE701B">
        <w:rPr>
          <w:rFonts w:ascii="Times New Roman" w:hAnsi="Times New Roman" w:cs="Times New Roman"/>
          <w:sz w:val="24"/>
          <w:szCs w:val="24"/>
        </w:rPr>
        <w:t xml:space="preserve">, the </w:t>
      </w:r>
      <w:r w:rsidR="00DF181E" w:rsidRPr="00DE701B">
        <w:rPr>
          <w:rFonts w:ascii="Times New Roman" w:hAnsi="Times New Roman" w:cs="Times New Roman"/>
          <w:sz w:val="24"/>
          <w:szCs w:val="24"/>
        </w:rPr>
        <w:t>recommended</w:t>
      </w:r>
      <w:r w:rsidR="00D277C9" w:rsidRPr="00DE701B">
        <w:rPr>
          <w:rFonts w:ascii="Times New Roman" w:hAnsi="Times New Roman" w:cs="Times New Roman"/>
          <w:sz w:val="24"/>
          <w:szCs w:val="24"/>
        </w:rPr>
        <w:t xml:space="preserve"> actions keep UW in alignment with the rates of Wyoming </w:t>
      </w:r>
      <w:r w:rsidR="007D49DE" w:rsidRPr="00DE701B">
        <w:rPr>
          <w:rFonts w:ascii="Times New Roman" w:hAnsi="Times New Roman" w:cs="Times New Roman"/>
          <w:sz w:val="24"/>
          <w:szCs w:val="24"/>
        </w:rPr>
        <w:t>c</w:t>
      </w:r>
      <w:r w:rsidR="00D277C9" w:rsidRPr="00DE701B">
        <w:rPr>
          <w:rFonts w:ascii="Times New Roman" w:hAnsi="Times New Roman" w:cs="Times New Roman"/>
          <w:sz w:val="24"/>
          <w:szCs w:val="24"/>
        </w:rPr>
        <w:t xml:space="preserve">ommunity </w:t>
      </w:r>
      <w:r w:rsidR="007D49DE" w:rsidRPr="00DE701B">
        <w:rPr>
          <w:rFonts w:ascii="Times New Roman" w:hAnsi="Times New Roman" w:cs="Times New Roman"/>
          <w:sz w:val="24"/>
          <w:szCs w:val="24"/>
        </w:rPr>
        <w:t>c</w:t>
      </w:r>
      <w:r w:rsidR="00D277C9" w:rsidRPr="00DE701B">
        <w:rPr>
          <w:rFonts w:ascii="Times New Roman" w:hAnsi="Times New Roman" w:cs="Times New Roman"/>
          <w:sz w:val="24"/>
          <w:szCs w:val="24"/>
        </w:rPr>
        <w:t>olleges</w:t>
      </w:r>
      <w:r w:rsidR="00A755A3">
        <w:rPr>
          <w:rFonts w:ascii="Times New Roman" w:hAnsi="Times New Roman" w:cs="Times New Roman"/>
          <w:sz w:val="24"/>
          <w:szCs w:val="24"/>
        </w:rPr>
        <w:t xml:space="preserve"> and are</w:t>
      </w:r>
      <w:r w:rsidR="002D26CD">
        <w:rPr>
          <w:rFonts w:ascii="Times New Roman" w:hAnsi="Times New Roman" w:cs="Times New Roman"/>
          <w:sz w:val="24"/>
          <w:szCs w:val="24"/>
        </w:rPr>
        <w:t xml:space="preserve"> </w:t>
      </w:r>
      <w:r w:rsidR="00A755A3">
        <w:rPr>
          <w:rFonts w:ascii="Times New Roman" w:hAnsi="Times New Roman" w:cs="Times New Roman"/>
          <w:sz w:val="24"/>
          <w:szCs w:val="24"/>
        </w:rPr>
        <w:t xml:space="preserve">within regional </w:t>
      </w:r>
      <w:r w:rsidR="00B63C3E">
        <w:rPr>
          <w:rFonts w:ascii="Times New Roman" w:hAnsi="Times New Roman" w:cs="Times New Roman"/>
          <w:sz w:val="24"/>
          <w:szCs w:val="24"/>
        </w:rPr>
        <w:t>averages</w:t>
      </w:r>
      <w:r w:rsidR="00D277C9" w:rsidRPr="00DE701B">
        <w:rPr>
          <w:rFonts w:ascii="Times New Roman" w:hAnsi="Times New Roman" w:cs="Times New Roman"/>
          <w:sz w:val="24"/>
          <w:szCs w:val="24"/>
        </w:rPr>
        <w:t>.</w:t>
      </w:r>
    </w:p>
    <w:p w14:paraId="03350E48" w14:textId="77777777" w:rsidR="00312A9C" w:rsidRPr="00DE701B" w:rsidRDefault="00312A9C" w:rsidP="00312A9C">
      <w:pPr>
        <w:pStyle w:val="ListParagraph"/>
        <w:spacing w:after="6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2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2970"/>
        <w:gridCol w:w="2610"/>
        <w:gridCol w:w="1620"/>
      </w:tblGrid>
      <w:tr w:rsidR="00DE701B" w:rsidRPr="008B76AB" w14:paraId="547A14B7" w14:textId="77777777" w:rsidTr="007844A2">
        <w:trPr>
          <w:trHeight w:val="20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1221A8" w14:textId="77777777" w:rsidR="00DE701B" w:rsidRPr="000429C0" w:rsidRDefault="00DE701B" w:rsidP="001F4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A20778" w14:textId="209896FD" w:rsidR="00DE701B" w:rsidRPr="000429C0" w:rsidRDefault="004E5983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Undergraduate Resident </w:t>
            </w:r>
            <w:r w:rsidR="00DE701B" w:rsidRPr="00042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Online</w:t>
            </w:r>
            <w:r w:rsidR="00260D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Rate -</w:t>
            </w:r>
            <w:r w:rsidR="00DE701B" w:rsidRPr="00042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3 Credits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054D7A" w14:textId="061B8F37" w:rsidR="00DE701B" w:rsidRPr="000429C0" w:rsidRDefault="00412EAD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CC Rate as % of Online Rate</w:t>
            </w:r>
          </w:p>
        </w:tc>
      </w:tr>
      <w:tr w:rsidR="00DE701B" w:rsidRPr="008B76AB" w14:paraId="5089A070" w14:textId="77777777" w:rsidTr="007844A2">
        <w:trPr>
          <w:trHeight w:val="4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90B0" w14:textId="05CDF22C" w:rsidR="00DE701B" w:rsidRPr="00260D46" w:rsidRDefault="00DE701B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0D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</w:t>
            </w:r>
            <w:r w:rsidR="00844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niversity </w:t>
            </w:r>
            <w:r w:rsidRPr="00260D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 Wyoming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9278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$645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D9F7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71%</w:t>
            </w:r>
          </w:p>
        </w:tc>
      </w:tr>
      <w:tr w:rsidR="00DE701B" w:rsidRPr="008B76AB" w14:paraId="4ECC3E98" w14:textId="77777777" w:rsidTr="007844A2">
        <w:trPr>
          <w:trHeight w:val="17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BC02" w14:textId="77777777" w:rsidR="00DE701B" w:rsidRPr="00260D46" w:rsidRDefault="00DE701B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0D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WCC Average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71F8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$456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F761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E701B" w:rsidRPr="008B76AB" w14:paraId="7E40072B" w14:textId="77777777" w:rsidTr="007844A2">
        <w:trPr>
          <w:trHeight w:val="8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8A3ED0" w14:textId="77777777" w:rsidR="00DE701B" w:rsidRPr="00260D46" w:rsidRDefault="00DE701B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D46">
              <w:rPr>
                <w:rFonts w:ascii="Times New Roman" w:eastAsia="Times New Roman" w:hAnsi="Times New Roman" w:cs="Times New Roman"/>
                <w:color w:val="000000"/>
              </w:rPr>
              <w:t>CSU Fort Collins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987320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$1,464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8569FE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55%</w:t>
            </w:r>
          </w:p>
        </w:tc>
      </w:tr>
      <w:tr w:rsidR="00DE701B" w:rsidRPr="008B76AB" w14:paraId="643F0334" w14:textId="77777777" w:rsidTr="007844A2">
        <w:trPr>
          <w:trHeight w:val="56"/>
        </w:trPr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5FEAEA" w14:textId="77777777" w:rsidR="00DE701B" w:rsidRPr="00260D46" w:rsidRDefault="00DE701B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D46">
              <w:rPr>
                <w:rFonts w:ascii="Times New Roman" w:eastAsia="Times New Roman" w:hAnsi="Times New Roman" w:cs="Times New Roman"/>
                <w:color w:val="000000"/>
              </w:rPr>
              <w:t>CCCS Average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C3FB3B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$801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89F9BF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E701B" w:rsidRPr="008B76AB" w14:paraId="5DB9B15E" w14:textId="77777777" w:rsidTr="007844A2">
        <w:trPr>
          <w:trHeight w:val="4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D487" w14:textId="385753C2" w:rsidR="00DE701B" w:rsidRPr="00260D46" w:rsidRDefault="00DE701B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D46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8440E2">
              <w:rPr>
                <w:rFonts w:ascii="Times New Roman" w:eastAsia="Times New Roman" w:hAnsi="Times New Roman" w:cs="Times New Roman"/>
                <w:color w:val="000000"/>
              </w:rPr>
              <w:t>niversity of</w:t>
            </w:r>
            <w:r w:rsidRPr="00260D46">
              <w:rPr>
                <w:rFonts w:ascii="Times New Roman" w:eastAsia="Times New Roman" w:hAnsi="Times New Roman" w:cs="Times New Roman"/>
                <w:color w:val="000000"/>
              </w:rPr>
              <w:t xml:space="preserve"> Idaho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3BCC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$1,758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EB82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26%</w:t>
            </w:r>
          </w:p>
        </w:tc>
      </w:tr>
      <w:tr w:rsidR="00DE701B" w:rsidRPr="008B76AB" w14:paraId="1064DE4C" w14:textId="77777777" w:rsidTr="007844A2">
        <w:trPr>
          <w:trHeight w:val="5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4681" w14:textId="77777777" w:rsidR="00DE701B" w:rsidRPr="00260D46" w:rsidRDefault="00DE701B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D46">
              <w:rPr>
                <w:rFonts w:ascii="Times New Roman" w:eastAsia="Times New Roman" w:hAnsi="Times New Roman" w:cs="Times New Roman"/>
                <w:color w:val="000000"/>
              </w:rPr>
              <w:t>ICC Average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9729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$450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C0A1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E701B" w:rsidRPr="008B76AB" w14:paraId="4EE85AAC" w14:textId="77777777" w:rsidTr="007844A2">
        <w:trPr>
          <w:trHeight w:val="4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B0BC31" w14:textId="093149BB" w:rsidR="00DE701B" w:rsidRPr="00260D46" w:rsidRDefault="00DE701B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D46">
              <w:rPr>
                <w:rFonts w:ascii="Times New Roman" w:eastAsia="Times New Roman" w:hAnsi="Times New Roman" w:cs="Times New Roman"/>
                <w:color w:val="000000"/>
              </w:rPr>
              <w:t>Utah State U</w:t>
            </w:r>
            <w:r w:rsidR="007844A2">
              <w:rPr>
                <w:rFonts w:ascii="Times New Roman" w:eastAsia="Times New Roman" w:hAnsi="Times New Roman" w:cs="Times New Roman"/>
                <w:color w:val="000000"/>
              </w:rPr>
              <w:t>niversity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304836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$1,585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4F4A75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53%</w:t>
            </w:r>
          </w:p>
        </w:tc>
      </w:tr>
      <w:tr w:rsidR="00DE701B" w:rsidRPr="008B76AB" w14:paraId="30FA86B5" w14:textId="77777777" w:rsidTr="007844A2">
        <w:trPr>
          <w:trHeight w:val="5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EB4F2D" w14:textId="77777777" w:rsidR="00DE701B" w:rsidRPr="00260D46" w:rsidRDefault="00DE701B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D46">
              <w:rPr>
                <w:rFonts w:ascii="Times New Roman" w:eastAsia="Times New Roman" w:hAnsi="Times New Roman" w:cs="Times New Roman"/>
                <w:color w:val="000000"/>
              </w:rPr>
              <w:t>UCC Average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495141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$847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BF17A3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E701B" w:rsidRPr="008B76AB" w14:paraId="19932C72" w14:textId="77777777" w:rsidTr="007844A2">
        <w:trPr>
          <w:trHeight w:val="4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93F7" w14:textId="6BBB0922" w:rsidR="00DE701B" w:rsidRPr="00260D46" w:rsidRDefault="00DE701B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D46">
              <w:rPr>
                <w:rFonts w:ascii="Times New Roman" w:eastAsia="Times New Roman" w:hAnsi="Times New Roman" w:cs="Times New Roman"/>
                <w:color w:val="000000"/>
              </w:rPr>
              <w:t>Montana State U</w:t>
            </w:r>
            <w:r w:rsidR="007844A2">
              <w:rPr>
                <w:rFonts w:ascii="Times New Roman" w:eastAsia="Times New Roman" w:hAnsi="Times New Roman" w:cs="Times New Roman"/>
                <w:color w:val="000000"/>
              </w:rPr>
              <w:t>niversity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25C6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$799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FBDE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72%</w:t>
            </w:r>
          </w:p>
        </w:tc>
      </w:tr>
      <w:tr w:rsidR="00DE701B" w:rsidRPr="008B76AB" w14:paraId="00D0DB1A" w14:textId="77777777" w:rsidTr="007844A2">
        <w:trPr>
          <w:trHeight w:val="5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DF1D" w14:textId="77777777" w:rsidR="00DE701B" w:rsidRPr="00260D46" w:rsidRDefault="00DE701B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D46">
              <w:rPr>
                <w:rFonts w:ascii="Times New Roman" w:eastAsia="Times New Roman" w:hAnsi="Times New Roman" w:cs="Times New Roman"/>
                <w:color w:val="000000"/>
              </w:rPr>
              <w:t>MCC Average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433C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$572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3D9E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E701B" w:rsidRPr="008B76AB" w14:paraId="74220EFA" w14:textId="77777777" w:rsidTr="007844A2">
        <w:trPr>
          <w:trHeight w:val="4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721BEE" w14:textId="24CC4ABF" w:rsidR="00DE701B" w:rsidRPr="00260D46" w:rsidRDefault="00DE701B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D46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7844A2">
              <w:rPr>
                <w:rFonts w:ascii="Times New Roman" w:eastAsia="Times New Roman" w:hAnsi="Times New Roman" w:cs="Times New Roman"/>
                <w:color w:val="000000"/>
              </w:rPr>
              <w:t>niversity</w:t>
            </w:r>
            <w:r w:rsidRPr="00260D46">
              <w:rPr>
                <w:rFonts w:ascii="Times New Roman" w:eastAsia="Times New Roman" w:hAnsi="Times New Roman" w:cs="Times New Roman"/>
                <w:color w:val="000000"/>
              </w:rPr>
              <w:t xml:space="preserve"> of Nebraska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A66F1A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$1,487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00FE21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29%</w:t>
            </w:r>
          </w:p>
        </w:tc>
      </w:tr>
      <w:tr w:rsidR="00DE701B" w:rsidRPr="008B76AB" w14:paraId="2DF130C1" w14:textId="77777777" w:rsidTr="007844A2">
        <w:trPr>
          <w:trHeight w:val="5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A5889A" w14:textId="77777777" w:rsidR="00DE701B" w:rsidRPr="00260D46" w:rsidRDefault="00DE701B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D46">
              <w:rPr>
                <w:rFonts w:ascii="Times New Roman" w:eastAsia="Times New Roman" w:hAnsi="Times New Roman" w:cs="Times New Roman"/>
                <w:color w:val="000000"/>
              </w:rPr>
              <w:t>ICC Average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76587B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$436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2D4D09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E701B" w:rsidRPr="008B76AB" w14:paraId="776CBE6F" w14:textId="77777777" w:rsidTr="007844A2">
        <w:trPr>
          <w:trHeight w:val="4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37D4" w14:textId="51CB0160" w:rsidR="00DE701B" w:rsidRPr="00260D46" w:rsidRDefault="00DE701B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D46">
              <w:rPr>
                <w:rFonts w:ascii="Times New Roman" w:eastAsia="Times New Roman" w:hAnsi="Times New Roman" w:cs="Times New Roman"/>
                <w:color w:val="000000"/>
              </w:rPr>
              <w:t>Kansas State U</w:t>
            </w:r>
            <w:r w:rsidR="007844A2">
              <w:rPr>
                <w:rFonts w:ascii="Times New Roman" w:eastAsia="Times New Roman" w:hAnsi="Times New Roman" w:cs="Times New Roman"/>
                <w:color w:val="000000"/>
              </w:rPr>
              <w:t>niversity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8015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$1,236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64B9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28%</w:t>
            </w:r>
          </w:p>
        </w:tc>
      </w:tr>
      <w:tr w:rsidR="00DE701B" w:rsidRPr="008B76AB" w14:paraId="702AC97F" w14:textId="77777777" w:rsidTr="007844A2">
        <w:trPr>
          <w:trHeight w:val="5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8F21" w14:textId="77777777" w:rsidR="00DE701B" w:rsidRPr="00260D46" w:rsidRDefault="00DE701B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D46">
              <w:rPr>
                <w:rFonts w:ascii="Times New Roman" w:eastAsia="Times New Roman" w:hAnsi="Times New Roman" w:cs="Times New Roman"/>
                <w:color w:val="000000"/>
              </w:rPr>
              <w:t>KCC Average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A08F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$345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50EF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E701B" w:rsidRPr="008B76AB" w14:paraId="1EF7AC8D" w14:textId="77777777" w:rsidTr="007844A2">
        <w:trPr>
          <w:trHeight w:val="4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8103D3" w14:textId="2968D3C3" w:rsidR="00DE701B" w:rsidRPr="00260D46" w:rsidRDefault="00DE701B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D46">
              <w:rPr>
                <w:rFonts w:ascii="Times New Roman" w:eastAsia="Times New Roman" w:hAnsi="Times New Roman" w:cs="Times New Roman"/>
                <w:color w:val="000000"/>
              </w:rPr>
              <w:t>South Dakota State U</w:t>
            </w:r>
            <w:r w:rsidR="007844A2">
              <w:rPr>
                <w:rFonts w:ascii="Times New Roman" w:eastAsia="Times New Roman" w:hAnsi="Times New Roman" w:cs="Times New Roman"/>
                <w:color w:val="000000"/>
              </w:rPr>
              <w:t>niversity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7C84B3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$927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FBB911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72%</w:t>
            </w:r>
          </w:p>
        </w:tc>
      </w:tr>
      <w:tr w:rsidR="00DE701B" w:rsidRPr="008B76AB" w14:paraId="595D5575" w14:textId="77777777" w:rsidTr="007844A2">
        <w:trPr>
          <w:trHeight w:val="5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A35BDD" w14:textId="77777777" w:rsidR="00DE701B" w:rsidRPr="00260D46" w:rsidRDefault="00DE701B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D46">
              <w:rPr>
                <w:rFonts w:ascii="Times New Roman" w:eastAsia="Times New Roman" w:hAnsi="Times New Roman" w:cs="Times New Roman"/>
                <w:color w:val="000000"/>
              </w:rPr>
              <w:t>SDCC Average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08016D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$665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2BB220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E701B" w:rsidRPr="008B76AB" w14:paraId="05213D52" w14:textId="77777777" w:rsidTr="007844A2">
        <w:trPr>
          <w:trHeight w:val="310"/>
        </w:trPr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44F8E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CE38F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2D139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E701B" w:rsidRPr="008B76AB" w14:paraId="5234105D" w14:textId="77777777" w:rsidTr="007844A2">
        <w:trPr>
          <w:trHeight w:val="4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1C72" w14:textId="77777777" w:rsidR="00DE701B" w:rsidRPr="000429C0" w:rsidRDefault="00DE701B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Average Land Grant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4151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$1,238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9C96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46%</w:t>
            </w:r>
          </w:p>
        </w:tc>
      </w:tr>
      <w:tr w:rsidR="00DE701B" w:rsidRPr="008B76AB" w14:paraId="607ED00E" w14:textId="77777777" w:rsidTr="007844A2">
        <w:trPr>
          <w:trHeight w:val="5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B2E0" w14:textId="77777777" w:rsidR="00DE701B" w:rsidRPr="000429C0" w:rsidRDefault="00DE701B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Average CC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1536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$572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B0A8" w14:textId="77777777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E701B" w:rsidRPr="008B76AB" w14:paraId="473EAA7D" w14:textId="77777777" w:rsidTr="007844A2">
        <w:trPr>
          <w:trHeight w:val="4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009DAC" w14:textId="6AA510CC" w:rsidR="00DE701B" w:rsidRPr="000429C0" w:rsidRDefault="008A06E7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Recommended </w:t>
            </w:r>
            <w:r w:rsidR="00DE701B" w:rsidRPr="00042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niversity of Wyoming</w:t>
            </w:r>
            <w:r w:rsidR="00DE701B" w:rsidRPr="00042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Rate</w:t>
            </w:r>
            <w:r w:rsidR="003F3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and WCC % of Recommended Rate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ADC19A" w14:textId="59CF047A" w:rsidR="00DE701B" w:rsidRPr="000429C0" w:rsidRDefault="00DE701B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</w:t>
            </w:r>
            <w:r w:rsidR="002963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E8FD00" w14:textId="2380C6D4" w:rsidR="00DE701B" w:rsidRPr="000429C0" w:rsidRDefault="00870B9D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54%</w:t>
            </w:r>
          </w:p>
        </w:tc>
      </w:tr>
    </w:tbl>
    <w:p w14:paraId="76F69CAA" w14:textId="77777777" w:rsidR="00DE701B" w:rsidRDefault="00DE701B" w:rsidP="00DE701B">
      <w:pPr>
        <w:pStyle w:val="ListParagraph"/>
        <w:spacing w:after="60"/>
        <w:ind w:left="450"/>
        <w:rPr>
          <w:rFonts w:ascii="Times New Roman" w:hAnsi="Times New Roman" w:cs="Times New Roman"/>
          <w:sz w:val="24"/>
          <w:szCs w:val="24"/>
        </w:rPr>
      </w:pPr>
    </w:p>
    <w:p w14:paraId="68C97B9C" w14:textId="77777777" w:rsidR="002B68CF" w:rsidRDefault="002B68CF" w:rsidP="00DE701B">
      <w:pPr>
        <w:pStyle w:val="ListParagraph"/>
        <w:spacing w:after="60"/>
        <w:ind w:left="450"/>
        <w:rPr>
          <w:rFonts w:ascii="Times New Roman" w:hAnsi="Times New Roman" w:cs="Times New Roman"/>
          <w:sz w:val="24"/>
          <w:szCs w:val="24"/>
        </w:rPr>
      </w:pPr>
    </w:p>
    <w:p w14:paraId="233694A5" w14:textId="77777777" w:rsidR="002B68CF" w:rsidRDefault="002B68CF" w:rsidP="00DE701B">
      <w:pPr>
        <w:pStyle w:val="ListParagraph"/>
        <w:spacing w:after="60"/>
        <w:ind w:left="450"/>
        <w:rPr>
          <w:rFonts w:ascii="Times New Roman" w:hAnsi="Times New Roman" w:cs="Times New Roman"/>
          <w:sz w:val="24"/>
          <w:szCs w:val="24"/>
        </w:rPr>
      </w:pPr>
    </w:p>
    <w:p w14:paraId="62E4E8D6" w14:textId="77777777" w:rsidR="002B68CF" w:rsidRDefault="002B68CF" w:rsidP="00DE701B">
      <w:pPr>
        <w:pStyle w:val="ListParagraph"/>
        <w:spacing w:after="60"/>
        <w:ind w:left="450"/>
        <w:rPr>
          <w:rFonts w:ascii="Times New Roman" w:hAnsi="Times New Roman" w:cs="Times New Roman"/>
          <w:sz w:val="24"/>
          <w:szCs w:val="24"/>
        </w:rPr>
      </w:pPr>
    </w:p>
    <w:p w14:paraId="62B4A8A9" w14:textId="77777777" w:rsidR="002B68CF" w:rsidRDefault="002B68CF" w:rsidP="00DE701B">
      <w:pPr>
        <w:pStyle w:val="ListParagraph"/>
        <w:spacing w:after="60"/>
        <w:ind w:left="450"/>
        <w:rPr>
          <w:rFonts w:ascii="Times New Roman" w:hAnsi="Times New Roman" w:cs="Times New Roman"/>
          <w:sz w:val="24"/>
          <w:szCs w:val="24"/>
        </w:rPr>
      </w:pPr>
    </w:p>
    <w:p w14:paraId="5DACC300" w14:textId="77777777" w:rsidR="002B68CF" w:rsidRDefault="002B68CF" w:rsidP="00DE701B">
      <w:pPr>
        <w:pStyle w:val="ListParagraph"/>
        <w:spacing w:after="60"/>
        <w:ind w:left="450"/>
        <w:rPr>
          <w:rFonts w:ascii="Times New Roman" w:hAnsi="Times New Roman" w:cs="Times New Roman"/>
          <w:sz w:val="24"/>
          <w:szCs w:val="24"/>
        </w:rPr>
      </w:pPr>
    </w:p>
    <w:p w14:paraId="6F4D7B62" w14:textId="77777777" w:rsidR="002B68CF" w:rsidRDefault="002B68CF" w:rsidP="00DE701B">
      <w:pPr>
        <w:pStyle w:val="ListParagraph"/>
        <w:spacing w:after="60"/>
        <w:ind w:left="450"/>
        <w:rPr>
          <w:rFonts w:ascii="Times New Roman" w:hAnsi="Times New Roman" w:cs="Times New Roman"/>
          <w:sz w:val="24"/>
          <w:szCs w:val="24"/>
        </w:rPr>
      </w:pPr>
    </w:p>
    <w:p w14:paraId="6B604772" w14:textId="77777777" w:rsidR="002B68CF" w:rsidRDefault="002B68CF" w:rsidP="00DE701B">
      <w:pPr>
        <w:pStyle w:val="ListParagraph"/>
        <w:spacing w:after="60"/>
        <w:ind w:left="450"/>
        <w:rPr>
          <w:rFonts w:ascii="Times New Roman" w:hAnsi="Times New Roman" w:cs="Times New Roman"/>
          <w:sz w:val="24"/>
          <w:szCs w:val="24"/>
        </w:rPr>
      </w:pPr>
    </w:p>
    <w:p w14:paraId="488BFB36" w14:textId="77777777" w:rsidR="002B68CF" w:rsidRDefault="002B68CF" w:rsidP="00DE701B">
      <w:pPr>
        <w:pStyle w:val="ListParagraph"/>
        <w:spacing w:after="60"/>
        <w:ind w:left="450"/>
        <w:rPr>
          <w:rFonts w:ascii="Times New Roman" w:hAnsi="Times New Roman" w:cs="Times New Roman"/>
          <w:sz w:val="24"/>
          <w:szCs w:val="24"/>
        </w:rPr>
      </w:pPr>
    </w:p>
    <w:p w14:paraId="20D698C1" w14:textId="77777777" w:rsidR="002B68CF" w:rsidRDefault="002B68CF" w:rsidP="00DE701B">
      <w:pPr>
        <w:pStyle w:val="ListParagraph"/>
        <w:spacing w:after="60"/>
        <w:ind w:left="450"/>
        <w:rPr>
          <w:rFonts w:ascii="Times New Roman" w:hAnsi="Times New Roman" w:cs="Times New Roman"/>
          <w:sz w:val="24"/>
          <w:szCs w:val="24"/>
        </w:rPr>
      </w:pPr>
    </w:p>
    <w:p w14:paraId="4A34B81E" w14:textId="77777777" w:rsidR="002B68CF" w:rsidRDefault="002B68CF" w:rsidP="00DE701B">
      <w:pPr>
        <w:pStyle w:val="ListParagraph"/>
        <w:spacing w:after="60"/>
        <w:ind w:left="450"/>
        <w:rPr>
          <w:rFonts w:ascii="Times New Roman" w:hAnsi="Times New Roman" w:cs="Times New Roman"/>
          <w:sz w:val="24"/>
          <w:szCs w:val="24"/>
        </w:rPr>
      </w:pPr>
    </w:p>
    <w:p w14:paraId="7897CD4A" w14:textId="77777777" w:rsidR="002B68CF" w:rsidRDefault="002B68CF" w:rsidP="00DE701B">
      <w:pPr>
        <w:pStyle w:val="ListParagraph"/>
        <w:spacing w:after="60"/>
        <w:ind w:left="450"/>
        <w:rPr>
          <w:rFonts w:ascii="Times New Roman" w:hAnsi="Times New Roman" w:cs="Times New Roman"/>
          <w:sz w:val="24"/>
          <w:szCs w:val="24"/>
        </w:rPr>
      </w:pPr>
    </w:p>
    <w:p w14:paraId="39286029" w14:textId="77777777" w:rsidR="002B68CF" w:rsidRDefault="002B68CF" w:rsidP="00DE701B">
      <w:pPr>
        <w:pStyle w:val="ListParagraph"/>
        <w:spacing w:after="60"/>
        <w:ind w:left="450"/>
        <w:rPr>
          <w:rFonts w:ascii="Times New Roman" w:hAnsi="Times New Roman" w:cs="Times New Roman"/>
          <w:sz w:val="24"/>
          <w:szCs w:val="24"/>
        </w:rPr>
      </w:pPr>
    </w:p>
    <w:p w14:paraId="0E9C4EE9" w14:textId="77777777" w:rsidR="002B68CF" w:rsidRDefault="002B68CF" w:rsidP="00DE701B">
      <w:pPr>
        <w:pStyle w:val="ListParagraph"/>
        <w:spacing w:after="60"/>
        <w:ind w:left="450"/>
        <w:rPr>
          <w:rFonts w:ascii="Times New Roman" w:hAnsi="Times New Roman" w:cs="Times New Roman"/>
          <w:sz w:val="24"/>
          <w:szCs w:val="24"/>
        </w:rPr>
      </w:pPr>
    </w:p>
    <w:p w14:paraId="1B2171F5" w14:textId="77777777" w:rsidR="002B68CF" w:rsidRDefault="002B68CF" w:rsidP="00DE701B">
      <w:pPr>
        <w:pStyle w:val="ListParagraph"/>
        <w:spacing w:after="60"/>
        <w:ind w:left="450"/>
        <w:rPr>
          <w:rFonts w:ascii="Times New Roman" w:hAnsi="Times New Roman" w:cs="Times New Roman"/>
          <w:sz w:val="24"/>
          <w:szCs w:val="24"/>
        </w:rPr>
      </w:pPr>
    </w:p>
    <w:p w14:paraId="1F1E741E" w14:textId="77777777" w:rsidR="002B68CF" w:rsidRDefault="002B68CF" w:rsidP="00DE701B">
      <w:pPr>
        <w:pStyle w:val="ListParagraph"/>
        <w:spacing w:after="60"/>
        <w:ind w:left="450"/>
        <w:rPr>
          <w:rFonts w:ascii="Times New Roman" w:hAnsi="Times New Roman" w:cs="Times New Roman"/>
          <w:sz w:val="24"/>
          <w:szCs w:val="24"/>
        </w:rPr>
      </w:pPr>
    </w:p>
    <w:p w14:paraId="7430F419" w14:textId="77777777" w:rsidR="002B68CF" w:rsidRPr="00DE701B" w:rsidRDefault="002B68CF" w:rsidP="00DE701B">
      <w:pPr>
        <w:pStyle w:val="ListParagraph"/>
        <w:spacing w:after="60"/>
        <w:ind w:left="450"/>
        <w:rPr>
          <w:rFonts w:ascii="Times New Roman" w:hAnsi="Times New Roman" w:cs="Times New Roman"/>
          <w:sz w:val="24"/>
          <w:szCs w:val="24"/>
        </w:rPr>
      </w:pPr>
    </w:p>
    <w:p w14:paraId="4FA3AAC6" w14:textId="14A9C74D" w:rsidR="00093358" w:rsidRDefault="00E91D4B" w:rsidP="006E4F29">
      <w:pPr>
        <w:pStyle w:val="ListParagraph"/>
        <w:numPr>
          <w:ilvl w:val="0"/>
          <w:numId w:val="11"/>
        </w:numPr>
        <w:spacing w:after="60"/>
        <w:ind w:left="360"/>
        <w:rPr>
          <w:rFonts w:ascii="Times New Roman" w:hAnsi="Times New Roman" w:cs="Times New Roman"/>
          <w:sz w:val="24"/>
          <w:szCs w:val="24"/>
        </w:rPr>
      </w:pPr>
      <w:r w:rsidRPr="00692C75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C72CBB">
        <w:rPr>
          <w:rFonts w:ascii="Times New Roman" w:hAnsi="Times New Roman" w:cs="Times New Roman"/>
          <w:sz w:val="24"/>
          <w:szCs w:val="24"/>
        </w:rPr>
        <w:t xml:space="preserve">resident online </w:t>
      </w:r>
      <w:r w:rsidRPr="00692C75">
        <w:rPr>
          <w:rFonts w:ascii="Times New Roman" w:hAnsi="Times New Roman" w:cs="Times New Roman"/>
          <w:sz w:val="24"/>
          <w:szCs w:val="24"/>
        </w:rPr>
        <w:t xml:space="preserve">tuition and fee </w:t>
      </w:r>
      <w:r w:rsidR="00D277C9" w:rsidRPr="00692C75">
        <w:rPr>
          <w:rFonts w:ascii="Times New Roman" w:hAnsi="Times New Roman" w:cs="Times New Roman"/>
          <w:sz w:val="24"/>
          <w:szCs w:val="24"/>
        </w:rPr>
        <w:t>rate</w:t>
      </w:r>
      <w:r w:rsidR="005E526A">
        <w:rPr>
          <w:rFonts w:ascii="Times New Roman" w:hAnsi="Times New Roman" w:cs="Times New Roman"/>
          <w:sz w:val="24"/>
          <w:szCs w:val="24"/>
        </w:rPr>
        <w:t xml:space="preserve">, which is already more affordable than out-of-state competitors, </w:t>
      </w:r>
      <w:r w:rsidRPr="00692C75">
        <w:rPr>
          <w:rFonts w:ascii="Times New Roman" w:hAnsi="Times New Roman" w:cs="Times New Roman"/>
          <w:sz w:val="24"/>
          <w:szCs w:val="24"/>
        </w:rPr>
        <w:t xml:space="preserve">is not </w:t>
      </w:r>
      <w:r w:rsidR="0011158F" w:rsidRPr="00692C75">
        <w:rPr>
          <w:rFonts w:ascii="Times New Roman" w:hAnsi="Times New Roman" w:cs="Times New Roman"/>
          <w:sz w:val="24"/>
          <w:szCs w:val="24"/>
        </w:rPr>
        <w:t xml:space="preserve">why </w:t>
      </w:r>
      <w:r w:rsidRPr="00692C75">
        <w:rPr>
          <w:rFonts w:ascii="Times New Roman" w:hAnsi="Times New Roman" w:cs="Times New Roman"/>
          <w:sz w:val="24"/>
          <w:szCs w:val="24"/>
        </w:rPr>
        <w:t>Wyoming residents are choosing out-of-state online institutions</w:t>
      </w:r>
      <w:r w:rsidR="00F4797E" w:rsidRPr="00692C75">
        <w:rPr>
          <w:rFonts w:ascii="Times New Roman" w:hAnsi="Times New Roman" w:cs="Times New Roman"/>
          <w:sz w:val="24"/>
          <w:szCs w:val="24"/>
        </w:rPr>
        <w:t xml:space="preserve"> at the 2</w:t>
      </w:r>
      <w:r w:rsidR="00F4797E" w:rsidRPr="00DE701B">
        <w:rPr>
          <w:rFonts w:ascii="Times New Roman" w:hAnsi="Times New Roman" w:cs="Times New Roman"/>
          <w:sz w:val="24"/>
          <w:szCs w:val="24"/>
        </w:rPr>
        <w:t>nd</w:t>
      </w:r>
      <w:r w:rsidR="00F4797E" w:rsidRPr="00692C75">
        <w:rPr>
          <w:rFonts w:ascii="Times New Roman" w:hAnsi="Times New Roman" w:cs="Times New Roman"/>
          <w:sz w:val="24"/>
          <w:szCs w:val="24"/>
        </w:rPr>
        <w:t xml:space="preserve"> highest rate in the nation</w:t>
      </w:r>
      <w:r w:rsidRPr="00692C75">
        <w:rPr>
          <w:rFonts w:ascii="Times New Roman" w:hAnsi="Times New Roman" w:cs="Times New Roman"/>
          <w:sz w:val="24"/>
          <w:szCs w:val="24"/>
        </w:rPr>
        <w:t xml:space="preserve">, a lack of available programs and lack of awareness </w:t>
      </w:r>
      <w:r w:rsidR="00FB41D4" w:rsidRPr="00692C75">
        <w:rPr>
          <w:rFonts w:ascii="Times New Roman" w:hAnsi="Times New Roman" w:cs="Times New Roman"/>
          <w:sz w:val="24"/>
          <w:szCs w:val="24"/>
        </w:rPr>
        <w:t>about</w:t>
      </w:r>
      <w:r w:rsidRPr="00692C75">
        <w:rPr>
          <w:rFonts w:ascii="Times New Roman" w:hAnsi="Times New Roman" w:cs="Times New Roman"/>
          <w:sz w:val="24"/>
          <w:szCs w:val="24"/>
        </w:rPr>
        <w:t xml:space="preserve"> the programs </w:t>
      </w:r>
      <w:r w:rsidR="00E82F80" w:rsidRPr="00692C75">
        <w:rPr>
          <w:rFonts w:ascii="Times New Roman" w:hAnsi="Times New Roman" w:cs="Times New Roman"/>
          <w:sz w:val="24"/>
          <w:szCs w:val="24"/>
        </w:rPr>
        <w:t>UW offers</w:t>
      </w:r>
      <w:r w:rsidR="0097152F" w:rsidRPr="00692C75">
        <w:rPr>
          <w:rFonts w:ascii="Times New Roman" w:hAnsi="Times New Roman" w:cs="Times New Roman"/>
          <w:sz w:val="24"/>
          <w:szCs w:val="24"/>
        </w:rPr>
        <w:t xml:space="preserve"> is</w:t>
      </w:r>
      <w:r w:rsidRPr="00692C75">
        <w:rPr>
          <w:rFonts w:ascii="Times New Roman" w:hAnsi="Times New Roman" w:cs="Times New Roman"/>
          <w:sz w:val="24"/>
          <w:szCs w:val="24"/>
        </w:rPr>
        <w:t>.</w:t>
      </w:r>
      <w:r w:rsidR="00F4797E" w:rsidRPr="00692C75">
        <w:rPr>
          <w:rFonts w:ascii="Times New Roman" w:hAnsi="Times New Roman" w:cs="Times New Roman"/>
          <w:sz w:val="24"/>
          <w:szCs w:val="24"/>
        </w:rPr>
        <w:t xml:space="preserve"> </w:t>
      </w:r>
      <w:r w:rsidR="00C254EA">
        <w:rPr>
          <w:rFonts w:ascii="Times New Roman" w:hAnsi="Times New Roman" w:cs="Times New Roman"/>
          <w:sz w:val="24"/>
          <w:szCs w:val="24"/>
        </w:rPr>
        <w:t xml:space="preserve">Institutional Marketing and the Office of Online and Continuing Education are working to ensure every online program is </w:t>
      </w:r>
      <w:r w:rsidR="00E968BE">
        <w:rPr>
          <w:rFonts w:ascii="Times New Roman" w:hAnsi="Times New Roman" w:cs="Times New Roman"/>
          <w:sz w:val="24"/>
          <w:szCs w:val="24"/>
        </w:rPr>
        <w:t>consistently marketed. Additionally, t</w:t>
      </w:r>
      <w:r w:rsidR="00EA6DEA">
        <w:rPr>
          <w:rFonts w:ascii="Times New Roman" w:hAnsi="Times New Roman" w:cs="Times New Roman"/>
          <w:sz w:val="24"/>
          <w:szCs w:val="24"/>
        </w:rPr>
        <w:t>hese tuition and fee changes increase financial resources</w:t>
      </w:r>
      <w:r w:rsidR="00E968BE">
        <w:rPr>
          <w:rFonts w:ascii="Times New Roman" w:hAnsi="Times New Roman" w:cs="Times New Roman"/>
          <w:sz w:val="24"/>
          <w:szCs w:val="24"/>
        </w:rPr>
        <w:t xml:space="preserve"> to colleges, academic departments, and central budget</w:t>
      </w:r>
      <w:r w:rsidR="00EA6DEA">
        <w:rPr>
          <w:rFonts w:ascii="Times New Roman" w:hAnsi="Times New Roman" w:cs="Times New Roman"/>
          <w:sz w:val="24"/>
          <w:szCs w:val="24"/>
        </w:rPr>
        <w:t xml:space="preserve"> to </w:t>
      </w:r>
      <w:r w:rsidR="00C254EA">
        <w:rPr>
          <w:rFonts w:ascii="Times New Roman" w:hAnsi="Times New Roman" w:cs="Times New Roman"/>
          <w:sz w:val="24"/>
          <w:szCs w:val="24"/>
        </w:rPr>
        <w:t xml:space="preserve">make </w:t>
      </w:r>
      <w:r w:rsidR="00C51D02">
        <w:rPr>
          <w:rFonts w:ascii="Times New Roman" w:hAnsi="Times New Roman" w:cs="Times New Roman"/>
          <w:sz w:val="24"/>
          <w:szCs w:val="24"/>
        </w:rPr>
        <w:t>it possible to sustain existing programs and launch new programs</w:t>
      </w:r>
      <w:r w:rsidR="00C254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E657C0" w14:textId="77777777" w:rsidR="00312A9C" w:rsidRPr="00DE701B" w:rsidRDefault="00312A9C" w:rsidP="00312A9C">
      <w:pPr>
        <w:pStyle w:val="ListParagraph"/>
        <w:spacing w:after="60"/>
        <w:ind w:left="360"/>
        <w:rPr>
          <w:rFonts w:ascii="Times New Roman" w:hAnsi="Times New Roman" w:cs="Times New Roman"/>
          <w:sz w:val="24"/>
          <w:szCs w:val="24"/>
        </w:rPr>
      </w:pPr>
    </w:p>
    <w:p w14:paraId="429CF160" w14:textId="50F1C499" w:rsidR="00075806" w:rsidRPr="006B5A4D" w:rsidRDefault="006E4F29" w:rsidP="002B68CF">
      <w:pPr>
        <w:spacing w:after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075806" w:rsidRPr="008B76A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9E4D927" wp14:editId="2902E207">
            <wp:extent cx="5859780" cy="4556979"/>
            <wp:effectExtent l="0" t="0" r="7620" b="0"/>
            <wp:docPr id="14" name="Picture 14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546" cy="458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B8B07" w14:textId="77777777" w:rsidR="00075806" w:rsidRDefault="00075806" w:rsidP="00075806">
      <w:pPr>
        <w:pStyle w:val="ListParagraph"/>
        <w:spacing w:after="6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4A14481D" w14:textId="77777777" w:rsidR="00075806" w:rsidRDefault="00075806" w:rsidP="00075806">
      <w:pPr>
        <w:pStyle w:val="ListParagraph"/>
        <w:spacing w:after="6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58ACE89D" w14:textId="77777777" w:rsidR="00075806" w:rsidRPr="00075806" w:rsidRDefault="00075806" w:rsidP="00075806">
      <w:pPr>
        <w:pStyle w:val="ListParagraph"/>
        <w:spacing w:after="6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41E1973A" w14:textId="77777777" w:rsidR="006E4F29" w:rsidRDefault="006E4F29" w:rsidP="006E4F29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154CFF7B" w14:textId="77777777" w:rsidR="006E4F29" w:rsidRDefault="006E4F29" w:rsidP="006E4F29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69FCC6D8" w14:textId="77777777" w:rsidR="006E4F29" w:rsidRDefault="006E4F29" w:rsidP="006E4F29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452460B3" w14:textId="77777777" w:rsidR="006E4F29" w:rsidRDefault="006E4F29" w:rsidP="006E4F29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22E7B74B" w14:textId="77777777" w:rsidR="006E4F29" w:rsidRDefault="006E4F29" w:rsidP="006E4F29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61078D43" w14:textId="77777777" w:rsidR="00011D2A" w:rsidRDefault="00011D2A" w:rsidP="006E4F29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069AE651" w14:textId="77777777" w:rsidR="006E4F29" w:rsidRDefault="006E4F29" w:rsidP="006E4F29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4AF805F9" w14:textId="77777777" w:rsidR="006E4F29" w:rsidRDefault="006E4F29" w:rsidP="006E4F29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00F0CE01" w14:textId="45FE4093" w:rsidR="008D16CF" w:rsidRDefault="008D16CF" w:rsidP="00901FD6">
      <w:pPr>
        <w:pStyle w:val="ListParagraph"/>
        <w:numPr>
          <w:ilvl w:val="0"/>
          <w:numId w:val="11"/>
        </w:numPr>
        <w:spacing w:after="60"/>
        <w:ind w:left="360"/>
        <w:rPr>
          <w:rFonts w:ascii="Times New Roman" w:hAnsi="Times New Roman" w:cs="Times New Roman"/>
          <w:sz w:val="24"/>
          <w:szCs w:val="24"/>
        </w:rPr>
      </w:pPr>
      <w:r w:rsidRPr="006E4F29">
        <w:rPr>
          <w:rFonts w:ascii="Times New Roman" w:hAnsi="Times New Roman" w:cs="Times New Roman"/>
          <w:sz w:val="24"/>
          <w:szCs w:val="24"/>
        </w:rPr>
        <w:lastRenderedPageBreak/>
        <w:t>As a result</w:t>
      </w:r>
      <w:r w:rsidR="00280B07">
        <w:rPr>
          <w:rFonts w:ascii="Times New Roman" w:hAnsi="Times New Roman" w:cs="Times New Roman"/>
          <w:sz w:val="24"/>
          <w:szCs w:val="24"/>
        </w:rPr>
        <w:t xml:space="preserve"> of a lack of </w:t>
      </w:r>
      <w:r w:rsidR="00F767FE">
        <w:rPr>
          <w:rFonts w:ascii="Times New Roman" w:hAnsi="Times New Roman" w:cs="Times New Roman"/>
          <w:sz w:val="24"/>
          <w:szCs w:val="24"/>
        </w:rPr>
        <w:t xml:space="preserve">available </w:t>
      </w:r>
      <w:r w:rsidR="00280B07">
        <w:rPr>
          <w:rFonts w:ascii="Times New Roman" w:hAnsi="Times New Roman" w:cs="Times New Roman"/>
          <w:sz w:val="24"/>
          <w:szCs w:val="24"/>
        </w:rPr>
        <w:t xml:space="preserve">programs and awareness about </w:t>
      </w:r>
      <w:r w:rsidR="00F767FE">
        <w:rPr>
          <w:rFonts w:ascii="Times New Roman" w:hAnsi="Times New Roman" w:cs="Times New Roman"/>
          <w:sz w:val="24"/>
          <w:szCs w:val="24"/>
        </w:rPr>
        <w:t>those that are offered</w:t>
      </w:r>
      <w:r w:rsidRPr="006E4F29">
        <w:rPr>
          <w:rFonts w:ascii="Times New Roman" w:hAnsi="Times New Roman" w:cs="Times New Roman"/>
          <w:sz w:val="24"/>
          <w:szCs w:val="24"/>
        </w:rPr>
        <w:t>, Wyoming residents are choosing out-</w:t>
      </w:r>
      <w:r w:rsidRPr="00707207">
        <w:rPr>
          <w:rFonts w:ascii="Times New Roman" w:hAnsi="Times New Roman" w:cs="Times New Roman"/>
          <w:sz w:val="24"/>
          <w:szCs w:val="24"/>
        </w:rPr>
        <w:t xml:space="preserve">of-state online universities at high rates. </w:t>
      </w:r>
      <w:r>
        <w:rPr>
          <w:rFonts w:ascii="Times New Roman" w:hAnsi="Times New Roman" w:cs="Times New Roman"/>
          <w:sz w:val="24"/>
          <w:szCs w:val="24"/>
        </w:rPr>
        <w:t xml:space="preserve">The data below is from before the pandemic, but the </w:t>
      </w:r>
      <w:r w:rsidRPr="00707207">
        <w:rPr>
          <w:rFonts w:ascii="Times New Roman" w:hAnsi="Times New Roman" w:cs="Times New Roman"/>
          <w:sz w:val="24"/>
          <w:szCs w:val="24"/>
        </w:rPr>
        <w:t>pandemic</w:t>
      </w:r>
      <w:r>
        <w:rPr>
          <w:rFonts w:ascii="Times New Roman" w:hAnsi="Times New Roman" w:cs="Times New Roman"/>
          <w:sz w:val="24"/>
          <w:szCs w:val="24"/>
        </w:rPr>
        <w:t xml:space="preserve"> accelerated this trend</w:t>
      </w:r>
      <w:r w:rsidRPr="00707207">
        <w:rPr>
          <w:rFonts w:ascii="Times New Roman" w:hAnsi="Times New Roman" w:cs="Times New Roman"/>
          <w:sz w:val="24"/>
          <w:szCs w:val="24"/>
        </w:rPr>
        <w:t>.</w:t>
      </w:r>
    </w:p>
    <w:p w14:paraId="311B9F6E" w14:textId="77777777" w:rsidR="008D16CF" w:rsidRPr="006E4F29" w:rsidRDefault="008D16CF" w:rsidP="008D16CF">
      <w:pPr>
        <w:pStyle w:val="ListParagraph"/>
        <w:spacing w:after="6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010" w:type="dxa"/>
        <w:tblInd w:w="355" w:type="dxa"/>
        <w:tblLook w:val="04A0" w:firstRow="1" w:lastRow="0" w:firstColumn="1" w:lastColumn="0" w:noHBand="0" w:noVBand="1"/>
      </w:tblPr>
      <w:tblGrid>
        <w:gridCol w:w="3600"/>
        <w:gridCol w:w="4410"/>
      </w:tblGrid>
      <w:tr w:rsidR="008D16CF" w:rsidRPr="008938D3" w14:paraId="1EBD428B" w14:textId="77777777" w:rsidTr="00500F39">
        <w:trPr>
          <w:trHeight w:val="1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C0191B" w14:textId="77777777" w:rsidR="008D16CF" w:rsidRPr="008938D3" w:rsidRDefault="008D16CF" w:rsidP="00500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38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University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8FCD20" w14:textId="77777777" w:rsidR="008D16CF" w:rsidRPr="008938D3" w:rsidRDefault="008D16CF" w:rsidP="00500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38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yoming</w:t>
            </w:r>
            <w:r w:rsidRPr="008938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Residents Attending Out-of-State Online Universities (NC-SARA, Fall 2020)</w:t>
            </w:r>
          </w:p>
        </w:tc>
      </w:tr>
      <w:tr w:rsidR="008D16CF" w:rsidRPr="008938D3" w14:paraId="0AECDA81" w14:textId="77777777" w:rsidTr="00500F39">
        <w:trPr>
          <w:trHeight w:val="3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9EAB" w14:textId="77777777" w:rsidR="008D16CF" w:rsidRPr="008938D3" w:rsidRDefault="008D16CF" w:rsidP="00500F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8D3">
              <w:rPr>
                <w:rFonts w:ascii="Times New Roman" w:eastAsia="Times New Roman" w:hAnsi="Times New Roman" w:cs="Times New Roman"/>
                <w:color w:val="000000"/>
              </w:rPr>
              <w:t>Western Governors 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niversity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ED9A" w14:textId="77777777" w:rsidR="008D16CF" w:rsidRPr="008938D3" w:rsidRDefault="008D16CF" w:rsidP="00500F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38D3">
              <w:rPr>
                <w:rFonts w:ascii="Times New Roman" w:eastAsia="Times New Roman" w:hAnsi="Times New Roman" w:cs="Times New Roman"/>
              </w:rPr>
              <w:t xml:space="preserve">1,061 </w:t>
            </w:r>
          </w:p>
        </w:tc>
      </w:tr>
      <w:tr w:rsidR="008D16CF" w:rsidRPr="008938D3" w14:paraId="20993DB1" w14:textId="77777777" w:rsidTr="00500F39">
        <w:trPr>
          <w:trHeight w:val="3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4B20" w14:textId="77777777" w:rsidR="008D16CF" w:rsidRPr="008938D3" w:rsidRDefault="008D16CF" w:rsidP="00500F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8D3">
              <w:rPr>
                <w:rFonts w:ascii="Times New Roman" w:eastAsia="Times New Roman" w:hAnsi="Times New Roman" w:cs="Times New Roman"/>
                <w:color w:val="000000"/>
              </w:rPr>
              <w:t>Grand Canyon 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niversity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D04F" w14:textId="77777777" w:rsidR="008D16CF" w:rsidRPr="008938D3" w:rsidRDefault="008D16CF" w:rsidP="00500F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38D3">
              <w:rPr>
                <w:rFonts w:ascii="Times New Roman" w:eastAsia="Times New Roman" w:hAnsi="Times New Roman" w:cs="Times New Roman"/>
              </w:rPr>
              <w:t xml:space="preserve">241 </w:t>
            </w:r>
          </w:p>
        </w:tc>
      </w:tr>
      <w:tr w:rsidR="008D16CF" w:rsidRPr="008938D3" w14:paraId="60016697" w14:textId="77777777" w:rsidTr="00500F39">
        <w:trPr>
          <w:trHeight w:val="3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84B8" w14:textId="77777777" w:rsidR="008D16CF" w:rsidRPr="008938D3" w:rsidRDefault="008D16CF" w:rsidP="00500F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8D3">
              <w:rPr>
                <w:rFonts w:ascii="Times New Roman" w:eastAsia="Times New Roman" w:hAnsi="Times New Roman" w:cs="Times New Roman"/>
                <w:color w:val="000000"/>
              </w:rPr>
              <w:t>Southern New Hampshire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38D3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niversity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6362" w14:textId="77777777" w:rsidR="008D16CF" w:rsidRPr="008938D3" w:rsidRDefault="008D16CF" w:rsidP="00500F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38D3">
              <w:rPr>
                <w:rFonts w:ascii="Times New Roman" w:eastAsia="Times New Roman" w:hAnsi="Times New Roman" w:cs="Times New Roman"/>
              </w:rPr>
              <w:t xml:space="preserve">216 </w:t>
            </w:r>
          </w:p>
        </w:tc>
      </w:tr>
      <w:tr w:rsidR="008D16CF" w:rsidRPr="008938D3" w14:paraId="19D7EFDB" w14:textId="77777777" w:rsidTr="00500F39">
        <w:trPr>
          <w:trHeight w:val="3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8D57" w14:textId="77777777" w:rsidR="008D16CF" w:rsidRPr="008938D3" w:rsidRDefault="008D16CF" w:rsidP="00500F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8D3">
              <w:rPr>
                <w:rFonts w:ascii="Times New Roman" w:eastAsia="Times New Roman" w:hAnsi="Times New Roman" w:cs="Times New Roman"/>
                <w:color w:val="000000"/>
              </w:rPr>
              <w:t>American Public 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niversity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1E51" w14:textId="77777777" w:rsidR="008D16CF" w:rsidRPr="008938D3" w:rsidRDefault="008D16CF" w:rsidP="00500F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38D3">
              <w:rPr>
                <w:rFonts w:ascii="Times New Roman" w:eastAsia="Times New Roman" w:hAnsi="Times New Roman" w:cs="Times New Roman"/>
              </w:rPr>
              <w:t xml:space="preserve">213 </w:t>
            </w:r>
          </w:p>
        </w:tc>
      </w:tr>
      <w:tr w:rsidR="008D16CF" w:rsidRPr="008938D3" w14:paraId="2C126DFF" w14:textId="77777777" w:rsidTr="00500F39">
        <w:trPr>
          <w:trHeight w:val="3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63A7" w14:textId="77777777" w:rsidR="008D16CF" w:rsidRPr="008938D3" w:rsidRDefault="008D16CF" w:rsidP="00500F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8D3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niversity</w:t>
            </w:r>
            <w:r w:rsidRPr="008938D3">
              <w:rPr>
                <w:rFonts w:ascii="Times New Roman" w:eastAsia="Times New Roman" w:hAnsi="Times New Roman" w:cs="Times New Roman"/>
                <w:color w:val="000000"/>
              </w:rPr>
              <w:t xml:space="preserve"> of Phoenix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AEE5" w14:textId="77777777" w:rsidR="008D16CF" w:rsidRPr="008938D3" w:rsidRDefault="008D16CF" w:rsidP="00500F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38D3">
              <w:rPr>
                <w:rFonts w:ascii="Times New Roman" w:eastAsia="Times New Roman" w:hAnsi="Times New Roman" w:cs="Times New Roman"/>
              </w:rPr>
              <w:t xml:space="preserve">139 </w:t>
            </w:r>
          </w:p>
        </w:tc>
      </w:tr>
      <w:tr w:rsidR="008D16CF" w:rsidRPr="008938D3" w14:paraId="228193D6" w14:textId="77777777" w:rsidTr="00500F39">
        <w:trPr>
          <w:trHeight w:val="3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8B34" w14:textId="77777777" w:rsidR="008D16CF" w:rsidRPr="008938D3" w:rsidRDefault="008D16CF" w:rsidP="00500F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8D3">
              <w:rPr>
                <w:rFonts w:ascii="Times New Roman" w:eastAsia="Times New Roman" w:hAnsi="Times New Roman" w:cs="Times New Roman"/>
                <w:color w:val="000000"/>
              </w:rPr>
              <w:t>Liberty 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niversity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333E" w14:textId="77777777" w:rsidR="008D16CF" w:rsidRPr="008938D3" w:rsidRDefault="008D16CF" w:rsidP="00500F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38D3">
              <w:rPr>
                <w:rFonts w:ascii="Times New Roman" w:eastAsia="Times New Roman" w:hAnsi="Times New Roman" w:cs="Times New Roman"/>
              </w:rPr>
              <w:t xml:space="preserve">131 </w:t>
            </w:r>
          </w:p>
        </w:tc>
      </w:tr>
      <w:tr w:rsidR="008D16CF" w:rsidRPr="008938D3" w14:paraId="5EA2DCBF" w14:textId="77777777" w:rsidTr="00500F39">
        <w:trPr>
          <w:trHeight w:val="3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4910" w14:textId="77777777" w:rsidR="008D16CF" w:rsidRPr="008938D3" w:rsidRDefault="008D16CF" w:rsidP="00500F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8D3">
              <w:rPr>
                <w:rFonts w:ascii="Times New Roman" w:eastAsia="Times New Roman" w:hAnsi="Times New Roman" w:cs="Times New Roman"/>
                <w:color w:val="000000"/>
              </w:rPr>
              <w:t>Black Hills State 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niversity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E03A" w14:textId="77777777" w:rsidR="008D16CF" w:rsidRPr="008938D3" w:rsidRDefault="008D16CF" w:rsidP="00500F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38D3">
              <w:rPr>
                <w:rFonts w:ascii="Times New Roman" w:eastAsia="Times New Roman" w:hAnsi="Times New Roman" w:cs="Times New Roman"/>
              </w:rPr>
              <w:t xml:space="preserve">128 </w:t>
            </w:r>
          </w:p>
        </w:tc>
      </w:tr>
      <w:tr w:rsidR="008D16CF" w:rsidRPr="008938D3" w14:paraId="1195A3D5" w14:textId="77777777" w:rsidTr="00500F39">
        <w:trPr>
          <w:trHeight w:val="3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76C3" w14:textId="77777777" w:rsidR="008D16CF" w:rsidRPr="008938D3" w:rsidRDefault="008D16CF" w:rsidP="00500F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8D3">
              <w:rPr>
                <w:rFonts w:ascii="Times New Roman" w:eastAsia="Times New Roman" w:hAnsi="Times New Roman" w:cs="Times New Roman"/>
                <w:color w:val="000000"/>
              </w:rPr>
              <w:t>Chadron State College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D57B" w14:textId="77777777" w:rsidR="008D16CF" w:rsidRPr="008938D3" w:rsidRDefault="008D16CF" w:rsidP="00500F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38D3">
              <w:rPr>
                <w:rFonts w:ascii="Times New Roman" w:eastAsia="Times New Roman" w:hAnsi="Times New Roman" w:cs="Times New Roman"/>
              </w:rPr>
              <w:t xml:space="preserve">125 </w:t>
            </w:r>
          </w:p>
        </w:tc>
      </w:tr>
      <w:tr w:rsidR="008D16CF" w:rsidRPr="008938D3" w14:paraId="21546BCF" w14:textId="77777777" w:rsidTr="00500F39">
        <w:trPr>
          <w:trHeight w:val="3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D52E" w14:textId="77777777" w:rsidR="008D16CF" w:rsidRPr="008938D3" w:rsidRDefault="008D16CF" w:rsidP="00500F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8D3">
              <w:rPr>
                <w:rFonts w:ascii="Times New Roman" w:eastAsia="Times New Roman" w:hAnsi="Times New Roman" w:cs="Times New Roman"/>
                <w:color w:val="000000"/>
              </w:rPr>
              <w:t>Colorado State 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niversity</w:t>
            </w:r>
            <w:r w:rsidRPr="008938D3">
              <w:rPr>
                <w:rFonts w:ascii="Times New Roman" w:eastAsia="Times New Roman" w:hAnsi="Times New Roman" w:cs="Times New Roman"/>
                <w:color w:val="000000"/>
              </w:rPr>
              <w:t xml:space="preserve"> Global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2564" w14:textId="77777777" w:rsidR="008D16CF" w:rsidRPr="008938D3" w:rsidRDefault="008D16CF" w:rsidP="00500F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38D3">
              <w:rPr>
                <w:rFonts w:ascii="Times New Roman" w:eastAsia="Times New Roman" w:hAnsi="Times New Roman" w:cs="Times New Roman"/>
              </w:rPr>
              <w:t xml:space="preserve">118 </w:t>
            </w:r>
          </w:p>
        </w:tc>
      </w:tr>
      <w:tr w:rsidR="008D16CF" w:rsidRPr="008938D3" w14:paraId="4DA26A98" w14:textId="77777777" w:rsidTr="00500F39">
        <w:trPr>
          <w:trHeight w:val="3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AF0E" w14:textId="77777777" w:rsidR="008D16CF" w:rsidRPr="008938D3" w:rsidRDefault="008D16CF" w:rsidP="00500F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8D3">
              <w:rPr>
                <w:rFonts w:ascii="Times New Roman" w:eastAsia="Times New Roman" w:hAnsi="Times New Roman" w:cs="Times New Roman"/>
                <w:color w:val="000000"/>
              </w:rPr>
              <w:t>Colorado Technical 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niversity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712B" w14:textId="77777777" w:rsidR="008D16CF" w:rsidRPr="008938D3" w:rsidRDefault="008D16CF" w:rsidP="00500F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38D3">
              <w:rPr>
                <w:rFonts w:ascii="Times New Roman" w:eastAsia="Times New Roman" w:hAnsi="Times New Roman" w:cs="Times New Roman"/>
              </w:rPr>
              <w:t xml:space="preserve">111 </w:t>
            </w:r>
          </w:p>
        </w:tc>
      </w:tr>
      <w:tr w:rsidR="008D16CF" w:rsidRPr="008938D3" w14:paraId="3EDAF70D" w14:textId="77777777" w:rsidTr="00500F39">
        <w:trPr>
          <w:trHeight w:val="3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193D" w14:textId="77777777" w:rsidR="008D16CF" w:rsidRPr="008938D3" w:rsidRDefault="008D16CF" w:rsidP="00500F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8D3">
              <w:rPr>
                <w:rFonts w:ascii="Times New Roman" w:eastAsia="Times New Roman" w:hAnsi="Times New Roman" w:cs="Times New Roman"/>
                <w:color w:val="000000"/>
              </w:rPr>
              <w:t>Ashworth College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3910" w14:textId="77777777" w:rsidR="008D16CF" w:rsidRPr="008938D3" w:rsidRDefault="008D16CF" w:rsidP="00500F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38D3">
              <w:rPr>
                <w:rFonts w:ascii="Times New Roman" w:eastAsia="Times New Roman" w:hAnsi="Times New Roman" w:cs="Times New Roman"/>
              </w:rPr>
              <w:t xml:space="preserve">111 </w:t>
            </w:r>
          </w:p>
        </w:tc>
      </w:tr>
      <w:tr w:rsidR="008D16CF" w:rsidRPr="008938D3" w14:paraId="02C5816E" w14:textId="77777777" w:rsidTr="00500F39">
        <w:trPr>
          <w:trHeight w:val="3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7833" w14:textId="77777777" w:rsidR="008D16CF" w:rsidRPr="008938D3" w:rsidRDefault="008D16CF" w:rsidP="00500F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8D3">
              <w:rPr>
                <w:rFonts w:ascii="Times New Roman" w:eastAsia="Times New Roman" w:hAnsi="Times New Roman" w:cs="Times New Roman"/>
                <w:color w:val="000000"/>
              </w:rPr>
              <w:t>Arizona State 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niversity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2B7E" w14:textId="77777777" w:rsidR="008D16CF" w:rsidRPr="008938D3" w:rsidRDefault="008D16CF" w:rsidP="00500F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38D3"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</w:tr>
    </w:tbl>
    <w:p w14:paraId="6E0307CA" w14:textId="77777777" w:rsidR="008D16CF" w:rsidRDefault="008D16CF" w:rsidP="008D16CF">
      <w:pPr>
        <w:spacing w:after="60"/>
        <w:ind w:left="1080"/>
        <w:rPr>
          <w:rFonts w:ascii="Times New Roman" w:hAnsi="Times New Roman" w:cs="Times New Roman"/>
          <w:sz w:val="24"/>
          <w:szCs w:val="24"/>
        </w:rPr>
      </w:pPr>
    </w:p>
    <w:p w14:paraId="321F0BB7" w14:textId="77777777" w:rsidR="008D16CF" w:rsidRDefault="008D16CF" w:rsidP="006E4F2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555D8" w14:textId="77777777" w:rsidR="008D16CF" w:rsidRDefault="008D16CF" w:rsidP="006E4F2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78D64" w14:textId="77777777" w:rsidR="00901FD6" w:rsidRDefault="00901FD6" w:rsidP="006E4F2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2A39E" w14:textId="77777777" w:rsidR="00901FD6" w:rsidRDefault="00901FD6" w:rsidP="006E4F2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BDA8E" w14:textId="77777777" w:rsidR="00901FD6" w:rsidRDefault="00901FD6" w:rsidP="006E4F2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AA873" w14:textId="77777777" w:rsidR="00901FD6" w:rsidRDefault="00901FD6" w:rsidP="006E4F2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91DDB" w14:textId="77777777" w:rsidR="00901FD6" w:rsidRDefault="00901FD6" w:rsidP="006E4F2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BDF93" w14:textId="77777777" w:rsidR="00901FD6" w:rsidRDefault="00901FD6" w:rsidP="006E4F2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5E18" w14:textId="77777777" w:rsidR="00901FD6" w:rsidRDefault="00901FD6" w:rsidP="006E4F2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9BCF0" w14:textId="77777777" w:rsidR="00901FD6" w:rsidRDefault="00901FD6" w:rsidP="006E4F2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201CA" w14:textId="77777777" w:rsidR="00901FD6" w:rsidRDefault="00901FD6" w:rsidP="006E4F2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397CD" w14:textId="77777777" w:rsidR="00901FD6" w:rsidRDefault="00901FD6" w:rsidP="006E4F2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EA3EB" w14:textId="77777777" w:rsidR="00901FD6" w:rsidRDefault="00901FD6" w:rsidP="006E4F2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A2A3C" w14:textId="77777777" w:rsidR="00901FD6" w:rsidRDefault="00901FD6" w:rsidP="006E4F2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088E4" w14:textId="77777777" w:rsidR="00901FD6" w:rsidRDefault="00901FD6" w:rsidP="006E4F2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5612D" w14:textId="77777777" w:rsidR="00901FD6" w:rsidRDefault="00901FD6" w:rsidP="006E4F2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E08E5" w14:textId="77777777" w:rsidR="00901FD6" w:rsidRDefault="00901FD6" w:rsidP="006E4F2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84E09" w14:textId="77777777" w:rsidR="00901FD6" w:rsidRDefault="00901FD6" w:rsidP="006E4F2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3250F" w14:textId="77777777" w:rsidR="008D16CF" w:rsidRDefault="008D16CF" w:rsidP="006E4F2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25844" w14:textId="77777777" w:rsidR="008D16CF" w:rsidRDefault="008D16CF" w:rsidP="006E4F2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3898E" w14:textId="77777777" w:rsidR="008D16CF" w:rsidRDefault="008D16CF" w:rsidP="006E4F2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5C89D" w14:textId="50C0EA90" w:rsidR="00011D2A" w:rsidRDefault="0091422A" w:rsidP="006E4F2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4B3BF8">
        <w:rPr>
          <w:rFonts w:ascii="Times New Roman" w:hAnsi="Times New Roman" w:cs="Times New Roman"/>
          <w:b/>
          <w:bCs/>
          <w:sz w:val="24"/>
          <w:szCs w:val="24"/>
        </w:rPr>
        <w:t xml:space="preserve">Rationale for </w:t>
      </w:r>
      <w:r w:rsidR="004B3BF8" w:rsidRPr="004B3BF8">
        <w:rPr>
          <w:rFonts w:ascii="Times New Roman" w:hAnsi="Times New Roman" w:cs="Times New Roman"/>
          <w:b/>
          <w:bCs/>
          <w:sz w:val="24"/>
          <w:szCs w:val="24"/>
        </w:rPr>
        <w:t>Action 2:</w:t>
      </w:r>
      <w:r w:rsidRPr="004B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9E3822" w14:textId="79C32831" w:rsidR="006E4F29" w:rsidRPr="004B3BF8" w:rsidRDefault="00BF4936" w:rsidP="006E4F29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4B3BF8">
        <w:rPr>
          <w:rFonts w:ascii="Times New Roman" w:hAnsi="Times New Roman" w:cs="Times New Roman"/>
          <w:b/>
          <w:bCs/>
          <w:sz w:val="24"/>
          <w:szCs w:val="24"/>
        </w:rPr>
        <w:t xml:space="preserve">Decrease </w:t>
      </w:r>
      <w:r w:rsidR="001101F2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4B3BF8">
        <w:rPr>
          <w:rFonts w:ascii="Times New Roman" w:hAnsi="Times New Roman" w:cs="Times New Roman"/>
          <w:b/>
          <w:bCs/>
          <w:sz w:val="24"/>
          <w:szCs w:val="24"/>
        </w:rPr>
        <w:t xml:space="preserve">onresident </w:t>
      </w:r>
      <w:r w:rsidR="001101F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B3BF8">
        <w:rPr>
          <w:rFonts w:ascii="Times New Roman" w:hAnsi="Times New Roman" w:cs="Times New Roman"/>
          <w:b/>
          <w:bCs/>
          <w:sz w:val="24"/>
          <w:szCs w:val="24"/>
        </w:rPr>
        <w:t xml:space="preserve">nline </w:t>
      </w:r>
      <w:r w:rsidR="001101F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B3BF8">
        <w:rPr>
          <w:rFonts w:ascii="Times New Roman" w:hAnsi="Times New Roman" w:cs="Times New Roman"/>
          <w:b/>
          <w:bCs/>
          <w:sz w:val="24"/>
          <w:szCs w:val="24"/>
        </w:rPr>
        <w:t xml:space="preserve">rogram </w:t>
      </w:r>
      <w:r w:rsidR="001101F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B3BF8">
        <w:rPr>
          <w:rFonts w:ascii="Times New Roman" w:hAnsi="Times New Roman" w:cs="Times New Roman"/>
          <w:b/>
          <w:bCs/>
          <w:sz w:val="24"/>
          <w:szCs w:val="24"/>
        </w:rPr>
        <w:t xml:space="preserve">eeker </w:t>
      </w:r>
      <w:r w:rsidR="001101F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4B3BF8">
        <w:rPr>
          <w:rFonts w:ascii="Times New Roman" w:hAnsi="Times New Roman" w:cs="Times New Roman"/>
          <w:b/>
          <w:bCs/>
          <w:sz w:val="24"/>
          <w:szCs w:val="24"/>
        </w:rPr>
        <w:t>uition from $345 to $2</w:t>
      </w:r>
      <w:r w:rsidR="00187F13" w:rsidRPr="004B3BF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B3BF8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1101F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B3BF8">
        <w:rPr>
          <w:rFonts w:ascii="Times New Roman" w:hAnsi="Times New Roman" w:cs="Times New Roman"/>
          <w:b/>
          <w:bCs/>
          <w:sz w:val="24"/>
          <w:szCs w:val="24"/>
        </w:rPr>
        <w:t xml:space="preserve">er </w:t>
      </w:r>
      <w:r w:rsidR="001101F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4B3BF8">
        <w:rPr>
          <w:rFonts w:ascii="Times New Roman" w:hAnsi="Times New Roman" w:cs="Times New Roman"/>
          <w:b/>
          <w:bCs/>
          <w:sz w:val="24"/>
          <w:szCs w:val="24"/>
        </w:rPr>
        <w:t>redit</w:t>
      </w:r>
    </w:p>
    <w:p w14:paraId="201BCFCC" w14:textId="77777777" w:rsidR="006E4F29" w:rsidRPr="006E4F29" w:rsidRDefault="006E4F29" w:rsidP="006E4F29">
      <w:pPr>
        <w:spacing w:after="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8CDF235" w14:textId="7C4B0363" w:rsidR="006E4F29" w:rsidRDefault="00E82F80" w:rsidP="00901FD6">
      <w:pPr>
        <w:pStyle w:val="ListParagraph"/>
        <w:numPr>
          <w:ilvl w:val="0"/>
          <w:numId w:val="18"/>
        </w:numPr>
        <w:spacing w:after="60"/>
        <w:ind w:left="360"/>
        <w:rPr>
          <w:rFonts w:ascii="Times New Roman" w:hAnsi="Times New Roman" w:cs="Times New Roman"/>
          <w:sz w:val="24"/>
          <w:szCs w:val="24"/>
        </w:rPr>
      </w:pPr>
      <w:r w:rsidRPr="006E4F29">
        <w:rPr>
          <w:rFonts w:ascii="Times New Roman" w:hAnsi="Times New Roman" w:cs="Times New Roman"/>
          <w:sz w:val="24"/>
          <w:szCs w:val="24"/>
        </w:rPr>
        <w:t>The UW</w:t>
      </w:r>
      <w:r w:rsidR="0091422A" w:rsidRPr="006E4F29">
        <w:rPr>
          <w:rFonts w:ascii="Times New Roman" w:hAnsi="Times New Roman" w:cs="Times New Roman"/>
          <w:sz w:val="24"/>
          <w:szCs w:val="24"/>
        </w:rPr>
        <w:t xml:space="preserve"> </w:t>
      </w:r>
      <w:r w:rsidR="00FB41D4" w:rsidRPr="006E4F29">
        <w:rPr>
          <w:rFonts w:ascii="Times New Roman" w:hAnsi="Times New Roman" w:cs="Times New Roman"/>
          <w:sz w:val="24"/>
          <w:szCs w:val="24"/>
        </w:rPr>
        <w:t>no</w:t>
      </w:r>
      <w:r w:rsidR="003C2312" w:rsidRPr="006E4F29">
        <w:rPr>
          <w:rFonts w:ascii="Times New Roman" w:hAnsi="Times New Roman" w:cs="Times New Roman"/>
          <w:sz w:val="24"/>
          <w:szCs w:val="24"/>
        </w:rPr>
        <w:t>n</w:t>
      </w:r>
      <w:r w:rsidR="00FB41D4" w:rsidRPr="006E4F29">
        <w:rPr>
          <w:rFonts w:ascii="Times New Roman" w:hAnsi="Times New Roman" w:cs="Times New Roman"/>
          <w:sz w:val="24"/>
          <w:szCs w:val="24"/>
        </w:rPr>
        <w:t>resident</w:t>
      </w:r>
      <w:r w:rsidR="0091422A" w:rsidRPr="006E4F29">
        <w:rPr>
          <w:rFonts w:ascii="Times New Roman" w:hAnsi="Times New Roman" w:cs="Times New Roman"/>
          <w:sz w:val="24"/>
          <w:szCs w:val="24"/>
        </w:rPr>
        <w:t xml:space="preserve"> tuition and fee </w:t>
      </w:r>
      <w:r w:rsidR="00A25570" w:rsidRPr="006E4F29">
        <w:rPr>
          <w:rFonts w:ascii="Times New Roman" w:hAnsi="Times New Roman" w:cs="Times New Roman"/>
          <w:sz w:val="24"/>
          <w:szCs w:val="24"/>
        </w:rPr>
        <w:t>rate</w:t>
      </w:r>
      <w:r w:rsidR="0091422A" w:rsidRPr="006E4F29">
        <w:rPr>
          <w:rFonts w:ascii="Times New Roman" w:hAnsi="Times New Roman" w:cs="Times New Roman"/>
          <w:sz w:val="24"/>
          <w:szCs w:val="24"/>
        </w:rPr>
        <w:t xml:space="preserve"> is among the highest compared to</w:t>
      </w:r>
      <w:r w:rsidR="00126B97">
        <w:rPr>
          <w:rFonts w:ascii="Times New Roman" w:hAnsi="Times New Roman" w:cs="Times New Roman"/>
          <w:sz w:val="24"/>
          <w:szCs w:val="24"/>
        </w:rPr>
        <w:t xml:space="preserve"> out-of-state</w:t>
      </w:r>
      <w:r w:rsidR="0091422A" w:rsidRPr="006E4F29">
        <w:rPr>
          <w:rFonts w:ascii="Times New Roman" w:hAnsi="Times New Roman" w:cs="Times New Roman"/>
          <w:sz w:val="24"/>
          <w:szCs w:val="24"/>
        </w:rPr>
        <w:t xml:space="preserve"> online institutions</w:t>
      </w:r>
      <w:r w:rsidR="00591B14">
        <w:rPr>
          <w:rFonts w:ascii="Times New Roman" w:hAnsi="Times New Roman" w:cs="Times New Roman"/>
          <w:sz w:val="24"/>
          <w:szCs w:val="24"/>
        </w:rPr>
        <w:t>.</w:t>
      </w:r>
    </w:p>
    <w:p w14:paraId="7C7335B9" w14:textId="77777777" w:rsidR="00312A9C" w:rsidRDefault="00312A9C" w:rsidP="00312A9C">
      <w:pPr>
        <w:pStyle w:val="ListParagraph"/>
        <w:spacing w:after="6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037" w:type="dxa"/>
        <w:tblInd w:w="355" w:type="dxa"/>
        <w:tblLook w:val="04A0" w:firstRow="1" w:lastRow="0" w:firstColumn="1" w:lastColumn="0" w:noHBand="0" w:noVBand="1"/>
      </w:tblPr>
      <w:tblGrid>
        <w:gridCol w:w="4050"/>
        <w:gridCol w:w="2070"/>
        <w:gridCol w:w="2199"/>
        <w:gridCol w:w="821"/>
      </w:tblGrid>
      <w:tr w:rsidR="006E4F29" w:rsidRPr="00F30D79" w14:paraId="14FFB1BF" w14:textId="77777777" w:rsidTr="5E8C5E9D">
        <w:trPr>
          <w:trHeight w:val="503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CF13806" w14:textId="77777777" w:rsidR="006E4F29" w:rsidRPr="00F30D79" w:rsidRDefault="006E4F29" w:rsidP="001F4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0D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University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FEF6D3" w14:textId="3D558638" w:rsidR="006E4F29" w:rsidRPr="00F30D79" w:rsidRDefault="003D5F7B" w:rsidP="001F4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5E8C5E9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6B5A4D" w:rsidRPr="5E8C5E9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Undergraduate</w:t>
            </w:r>
            <w:r w:rsidR="006E4F29" w:rsidRPr="5E8C5E9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Nonresident Online Tuition</w:t>
            </w:r>
            <w:r w:rsidR="00AE064F" w:rsidRPr="5E8C5E9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– 3 Credits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4FE2C8" w14:textId="63145509" w:rsidR="006E4F29" w:rsidRPr="00F30D79" w:rsidRDefault="003D5F7B" w:rsidP="001F4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5E8C5E9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6B5A4D" w:rsidRPr="5E8C5E9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Undergraduate</w:t>
            </w:r>
            <w:r w:rsidR="006E4F29" w:rsidRPr="5E8C5E9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Nonresident Online Fees - </w:t>
            </w:r>
            <w:r w:rsidR="00AE064F" w:rsidRPr="5E8C5E9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  <w:r w:rsidR="006E4F29" w:rsidRPr="5E8C5E9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Credit</w:t>
            </w:r>
            <w:r w:rsidR="00AE064F" w:rsidRPr="5E8C5E9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BBDC4F" w14:textId="77777777" w:rsidR="006E4F29" w:rsidRPr="00F30D79" w:rsidRDefault="006E4F29" w:rsidP="001F4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0D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</w:tr>
      <w:tr w:rsidR="0072348B" w:rsidRPr="00AE064F" w14:paraId="0B11BDF9" w14:textId="77777777" w:rsidTr="001F4278">
        <w:trPr>
          <w:trHeight w:val="31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A75B" w14:textId="7DB72FC6" w:rsidR="0072348B" w:rsidRPr="00F30D79" w:rsidRDefault="0072348B" w:rsidP="007234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06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University of Wyoming</w:t>
            </w:r>
            <w:r w:rsidRPr="00F30D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</w:t>
            </w:r>
            <w:r w:rsidRPr="00AE06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</w:t>
            </w:r>
            <w:r w:rsidRPr="00F30D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Nonres</w:t>
            </w:r>
            <w:r w:rsidRPr="00AE06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ident</w:t>
            </w:r>
            <w:r w:rsidRPr="00F30D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Rate Before </w:t>
            </w:r>
            <w:r w:rsidRPr="00AE06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Recent </w:t>
            </w:r>
            <w:r w:rsidRPr="00F30D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Change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2606" w14:textId="2248F049" w:rsidR="0072348B" w:rsidRPr="00677EC6" w:rsidRDefault="0072348B" w:rsidP="0072348B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EC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$1,995 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9775" w14:textId="49A92CB9" w:rsidR="0072348B" w:rsidRPr="00677EC6" w:rsidRDefault="0072348B" w:rsidP="0072348B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EC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$165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5745" w14:textId="0D01DBA4" w:rsidR="0072348B" w:rsidRPr="00677EC6" w:rsidRDefault="0072348B" w:rsidP="0072348B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EC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$2,160 </w:t>
            </w:r>
          </w:p>
        </w:tc>
      </w:tr>
      <w:tr w:rsidR="0072348B" w:rsidRPr="00AE064F" w14:paraId="13F77E44" w14:textId="77777777" w:rsidTr="001F4278">
        <w:trPr>
          <w:trHeight w:val="31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AD02" w14:textId="77777777" w:rsidR="0072348B" w:rsidRPr="00F30D79" w:rsidRDefault="0072348B" w:rsidP="007234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0D79">
              <w:rPr>
                <w:rFonts w:ascii="Times New Roman" w:eastAsia="Times New Roman" w:hAnsi="Times New Roman" w:cs="Times New Roman"/>
                <w:color w:val="000000"/>
              </w:rPr>
              <w:t>Arizona State U</w:t>
            </w:r>
            <w:r w:rsidRPr="00AE064F">
              <w:rPr>
                <w:rFonts w:ascii="Times New Roman" w:eastAsia="Times New Roman" w:hAnsi="Times New Roman" w:cs="Times New Roman"/>
                <w:color w:val="000000"/>
              </w:rPr>
              <w:t>niversity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FE5E" w14:textId="791CB634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$1,473 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316A" w14:textId="1C94C4DD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$360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A479" w14:textId="4B6AA396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$1,833 </w:t>
            </w:r>
          </w:p>
        </w:tc>
      </w:tr>
      <w:tr w:rsidR="0072348B" w:rsidRPr="00AE064F" w14:paraId="0254BCC3" w14:textId="77777777" w:rsidTr="001F4278">
        <w:trPr>
          <w:trHeight w:val="31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B50C" w14:textId="77777777" w:rsidR="0072348B" w:rsidRPr="00F30D79" w:rsidRDefault="0072348B" w:rsidP="007234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0D79">
              <w:rPr>
                <w:rFonts w:ascii="Times New Roman" w:eastAsia="Times New Roman" w:hAnsi="Times New Roman" w:cs="Times New Roman"/>
                <w:color w:val="000000"/>
              </w:rPr>
              <w:t>Grand Canyon U</w:t>
            </w:r>
            <w:r w:rsidRPr="00AE064F">
              <w:rPr>
                <w:rFonts w:ascii="Times New Roman" w:eastAsia="Times New Roman" w:hAnsi="Times New Roman" w:cs="Times New Roman"/>
                <w:color w:val="000000"/>
              </w:rPr>
              <w:t>niversity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45A1" w14:textId="4421A5EC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$1,410 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1B23" w14:textId="1209D83A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$219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EBE6" w14:textId="3630CA2D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$1,629 </w:t>
            </w:r>
          </w:p>
        </w:tc>
      </w:tr>
      <w:tr w:rsidR="0072348B" w:rsidRPr="00AE064F" w14:paraId="1B83A952" w14:textId="77777777" w:rsidTr="001F4278">
        <w:trPr>
          <w:trHeight w:val="31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2F07" w14:textId="77777777" w:rsidR="0072348B" w:rsidRPr="00F30D79" w:rsidRDefault="0072348B" w:rsidP="007234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0D79">
              <w:rPr>
                <w:rFonts w:ascii="Times New Roman" w:eastAsia="Times New Roman" w:hAnsi="Times New Roman" w:cs="Times New Roman"/>
                <w:color w:val="000000"/>
              </w:rPr>
              <w:t>Liberty U</w:t>
            </w:r>
            <w:r w:rsidRPr="00AE064F">
              <w:rPr>
                <w:rFonts w:ascii="Times New Roman" w:eastAsia="Times New Roman" w:hAnsi="Times New Roman" w:cs="Times New Roman"/>
                <w:color w:val="000000"/>
              </w:rPr>
              <w:t>niversity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DD23" w14:textId="2191B0D8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$1,170 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5E06" w14:textId="67F5F53A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$99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E054" w14:textId="28F8533A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$1,269 </w:t>
            </w:r>
          </w:p>
        </w:tc>
      </w:tr>
      <w:tr w:rsidR="0072348B" w:rsidRPr="00AE064F" w14:paraId="04228300" w14:textId="77777777" w:rsidTr="001F4278">
        <w:trPr>
          <w:trHeight w:val="31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681C" w14:textId="11DA4B67" w:rsidR="0072348B" w:rsidRPr="00F30D79" w:rsidRDefault="0072348B" w:rsidP="007234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06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University of Wyoming </w:t>
            </w:r>
            <w:r w:rsidRPr="00F30D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</w:t>
            </w:r>
            <w:r w:rsidRPr="00AE06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</w:t>
            </w:r>
            <w:r w:rsidRPr="00F30D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Current Nonres</w:t>
            </w:r>
            <w:r w:rsidRPr="00AE06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ident</w:t>
            </w:r>
            <w:r w:rsidRPr="00F30D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Rate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D24A" w14:textId="0FF31E03" w:rsidR="0072348B" w:rsidRPr="00677EC6" w:rsidRDefault="0072348B" w:rsidP="0072348B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EC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$1,035 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2BBD" w14:textId="48989CB5" w:rsidR="0072348B" w:rsidRPr="00677EC6" w:rsidRDefault="0072348B" w:rsidP="0072348B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EC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$165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B6BE" w14:textId="7874F4AE" w:rsidR="0072348B" w:rsidRPr="00677EC6" w:rsidRDefault="0072348B" w:rsidP="0072348B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EC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$1,200 </w:t>
            </w:r>
          </w:p>
        </w:tc>
      </w:tr>
      <w:tr w:rsidR="0072348B" w:rsidRPr="00AE064F" w14:paraId="4001FCF6" w14:textId="77777777" w:rsidTr="001F4278">
        <w:trPr>
          <w:trHeight w:val="31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40A9" w14:textId="77777777" w:rsidR="0072348B" w:rsidRPr="00F30D79" w:rsidRDefault="0072348B" w:rsidP="007234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0D7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AE064F">
              <w:rPr>
                <w:rFonts w:ascii="Times New Roman" w:eastAsia="Times New Roman" w:hAnsi="Times New Roman" w:cs="Times New Roman"/>
                <w:color w:val="000000"/>
              </w:rPr>
              <w:t>niversity</w:t>
            </w:r>
            <w:r w:rsidRPr="00F30D79">
              <w:rPr>
                <w:rFonts w:ascii="Times New Roman" w:eastAsia="Times New Roman" w:hAnsi="Times New Roman" w:cs="Times New Roman"/>
                <w:color w:val="000000"/>
              </w:rPr>
              <w:t xml:space="preserve"> of Phoenix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6CEF" w14:textId="397A98E6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$1,194 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E8FC" w14:textId="0B6A2946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$0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F56B" w14:textId="528349A2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$1,194 </w:t>
            </w:r>
          </w:p>
        </w:tc>
      </w:tr>
      <w:tr w:rsidR="0072348B" w:rsidRPr="00AE064F" w14:paraId="4CA77FF8" w14:textId="77777777" w:rsidTr="001F4278">
        <w:trPr>
          <w:trHeight w:val="31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4335" w14:textId="77777777" w:rsidR="0072348B" w:rsidRPr="00F30D79" w:rsidRDefault="0072348B" w:rsidP="007234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0D79">
              <w:rPr>
                <w:rFonts w:ascii="Times New Roman" w:eastAsia="Times New Roman" w:hAnsi="Times New Roman" w:cs="Times New Roman"/>
                <w:color w:val="000000"/>
              </w:rPr>
              <w:t>Black Hills State U</w:t>
            </w:r>
            <w:r w:rsidRPr="00AE064F">
              <w:rPr>
                <w:rFonts w:ascii="Times New Roman" w:eastAsia="Times New Roman" w:hAnsi="Times New Roman" w:cs="Times New Roman"/>
                <w:color w:val="000000"/>
              </w:rPr>
              <w:t>niversity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19EE" w14:textId="26ED4505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$1,071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727D" w14:textId="2AB28496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$114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F3A3" w14:textId="7E7B6ACB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$1,185 </w:t>
            </w:r>
          </w:p>
        </w:tc>
      </w:tr>
      <w:tr w:rsidR="0072348B" w:rsidRPr="00AE064F" w14:paraId="51379D8E" w14:textId="77777777" w:rsidTr="001F4278">
        <w:trPr>
          <w:trHeight w:val="31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1912" w14:textId="77777777" w:rsidR="0072348B" w:rsidRPr="00F30D79" w:rsidRDefault="0072348B" w:rsidP="007234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0D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Average Competitor Rate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A86B" w14:textId="703A7B6A" w:rsidR="0072348B" w:rsidRPr="00677EC6" w:rsidRDefault="0072348B" w:rsidP="0072348B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EC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$1,062 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0BC2" w14:textId="4D592B62" w:rsidR="0072348B" w:rsidRPr="00677EC6" w:rsidRDefault="0072348B" w:rsidP="0072348B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EC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$72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C0C1" w14:textId="31E549D1" w:rsidR="0072348B" w:rsidRPr="00677EC6" w:rsidRDefault="0072348B" w:rsidP="0072348B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EC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$1,134 </w:t>
            </w:r>
          </w:p>
        </w:tc>
      </w:tr>
      <w:tr w:rsidR="0072348B" w:rsidRPr="00AE064F" w14:paraId="69D15B4B" w14:textId="77777777" w:rsidTr="001F4278">
        <w:trPr>
          <w:trHeight w:val="31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2A93" w14:textId="448ABC1D" w:rsidR="0072348B" w:rsidRPr="00F30D79" w:rsidRDefault="0072348B" w:rsidP="007234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06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University of Wyoming -   </w:t>
            </w:r>
            <w:r w:rsidRPr="00F30D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Recommended </w:t>
            </w:r>
            <w:r w:rsidRPr="00AE06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  <w:r w:rsidRPr="00F30D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onres</w:t>
            </w:r>
            <w:r w:rsidRPr="00AE06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ident</w:t>
            </w:r>
            <w:r w:rsidRPr="00F30D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Online Rate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2902" w14:textId="6F950E23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06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$867 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293D" w14:textId="3D012889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06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$255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D837" w14:textId="02C77B19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06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$1,122 </w:t>
            </w:r>
          </w:p>
        </w:tc>
      </w:tr>
      <w:tr w:rsidR="0072348B" w:rsidRPr="00AE064F" w14:paraId="0CB31D28" w14:textId="77777777" w:rsidTr="001F4278">
        <w:trPr>
          <w:trHeight w:val="31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379F" w14:textId="77777777" w:rsidR="0072348B" w:rsidRPr="00F30D79" w:rsidRDefault="0072348B" w:rsidP="007234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0D79">
              <w:rPr>
                <w:rFonts w:ascii="Times New Roman" w:eastAsia="Times New Roman" w:hAnsi="Times New Roman" w:cs="Times New Roman"/>
                <w:color w:val="000000"/>
              </w:rPr>
              <w:t>Colorado Technical U</w:t>
            </w:r>
            <w:r w:rsidRPr="00AE064F">
              <w:rPr>
                <w:rFonts w:ascii="Times New Roman" w:eastAsia="Times New Roman" w:hAnsi="Times New Roman" w:cs="Times New Roman"/>
                <w:color w:val="000000"/>
              </w:rPr>
              <w:t>niversity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8D68" w14:textId="1B1175A4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$1,020 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7C8F" w14:textId="73BFFEA3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$45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797A" w14:textId="266A5597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$1,065 </w:t>
            </w:r>
          </w:p>
        </w:tc>
      </w:tr>
      <w:tr w:rsidR="0072348B" w:rsidRPr="00AE064F" w14:paraId="6AFD6A7A" w14:textId="77777777" w:rsidTr="001F4278">
        <w:trPr>
          <w:trHeight w:val="31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4738" w14:textId="77777777" w:rsidR="0072348B" w:rsidRPr="00F30D79" w:rsidRDefault="0072348B" w:rsidP="007234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0D79">
              <w:rPr>
                <w:rFonts w:ascii="Times New Roman" w:eastAsia="Times New Roman" w:hAnsi="Times New Roman" w:cs="Times New Roman"/>
                <w:color w:val="000000"/>
              </w:rPr>
              <w:t>Colorado State U</w:t>
            </w:r>
            <w:r w:rsidRPr="00AE064F">
              <w:rPr>
                <w:rFonts w:ascii="Times New Roman" w:eastAsia="Times New Roman" w:hAnsi="Times New Roman" w:cs="Times New Roman"/>
                <w:color w:val="000000"/>
              </w:rPr>
              <w:t>niversity</w:t>
            </w:r>
            <w:r w:rsidRPr="00F30D79">
              <w:rPr>
                <w:rFonts w:ascii="Times New Roman" w:eastAsia="Times New Roman" w:hAnsi="Times New Roman" w:cs="Times New Roman"/>
                <w:color w:val="000000"/>
              </w:rPr>
              <w:t xml:space="preserve"> Global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1852" w14:textId="4E50C543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$1,050 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C7A0" w14:textId="714C2090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$0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03B0" w14:textId="1ED73741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$1,050 </w:t>
            </w:r>
          </w:p>
        </w:tc>
      </w:tr>
      <w:tr w:rsidR="0072348B" w:rsidRPr="00AE064F" w14:paraId="71058515" w14:textId="77777777" w:rsidTr="001F4278">
        <w:trPr>
          <w:trHeight w:val="31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A7C2" w14:textId="77777777" w:rsidR="0072348B" w:rsidRPr="00F30D79" w:rsidRDefault="0072348B" w:rsidP="007234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0D79">
              <w:rPr>
                <w:rFonts w:ascii="Times New Roman" w:eastAsia="Times New Roman" w:hAnsi="Times New Roman" w:cs="Times New Roman"/>
                <w:color w:val="000000"/>
              </w:rPr>
              <w:t>Southern New Hampshire U</w:t>
            </w:r>
            <w:r w:rsidRPr="00AE064F">
              <w:rPr>
                <w:rFonts w:ascii="Times New Roman" w:eastAsia="Times New Roman" w:hAnsi="Times New Roman" w:cs="Times New Roman"/>
                <w:color w:val="000000"/>
              </w:rPr>
              <w:t>niversity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846F" w14:textId="6D867E03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$990 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70B1" w14:textId="3827B561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$0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EC06" w14:textId="7494A6B0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$990 </w:t>
            </w:r>
          </w:p>
        </w:tc>
      </w:tr>
      <w:tr w:rsidR="0072348B" w:rsidRPr="00AE064F" w14:paraId="40D1CB68" w14:textId="77777777" w:rsidTr="001F4278">
        <w:trPr>
          <w:trHeight w:val="31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6DD6" w14:textId="77777777" w:rsidR="0072348B" w:rsidRPr="00F30D79" w:rsidRDefault="0072348B" w:rsidP="007234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0D79">
              <w:rPr>
                <w:rFonts w:ascii="Times New Roman" w:eastAsia="Times New Roman" w:hAnsi="Times New Roman" w:cs="Times New Roman"/>
                <w:color w:val="000000"/>
              </w:rPr>
              <w:t>American Public U</w:t>
            </w:r>
            <w:r w:rsidRPr="00AE064F">
              <w:rPr>
                <w:rFonts w:ascii="Times New Roman" w:eastAsia="Times New Roman" w:hAnsi="Times New Roman" w:cs="Times New Roman"/>
                <w:color w:val="000000"/>
              </w:rPr>
              <w:t>niversity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AAA5" w14:textId="7209CB11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$975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582D" w14:textId="75BFD516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$0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A731" w14:textId="5907B5D8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$975 </w:t>
            </w:r>
          </w:p>
        </w:tc>
      </w:tr>
      <w:tr w:rsidR="0072348B" w:rsidRPr="00AE064F" w14:paraId="0D458C5B" w14:textId="77777777" w:rsidTr="001F4278">
        <w:trPr>
          <w:trHeight w:val="31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2EFF" w14:textId="77777777" w:rsidR="0072348B" w:rsidRPr="00F30D79" w:rsidRDefault="0072348B" w:rsidP="007234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0D79">
              <w:rPr>
                <w:rFonts w:ascii="Times New Roman" w:eastAsia="Times New Roman" w:hAnsi="Times New Roman" w:cs="Times New Roman"/>
                <w:color w:val="000000"/>
              </w:rPr>
              <w:t>Western Governors U</w:t>
            </w:r>
            <w:r w:rsidRPr="00AE064F">
              <w:rPr>
                <w:rFonts w:ascii="Times New Roman" w:eastAsia="Times New Roman" w:hAnsi="Times New Roman" w:cs="Times New Roman"/>
                <w:color w:val="000000"/>
              </w:rPr>
              <w:t>niversity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BAC9" w14:textId="5302C331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$930 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9C2B" w14:textId="23DDB905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$42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EDB8" w14:textId="541C045A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$972 </w:t>
            </w:r>
          </w:p>
        </w:tc>
      </w:tr>
      <w:tr w:rsidR="0072348B" w:rsidRPr="00AE064F" w14:paraId="2C647EB1" w14:textId="77777777" w:rsidTr="001F4278">
        <w:trPr>
          <w:trHeight w:val="31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30BD" w14:textId="77777777" w:rsidR="0072348B" w:rsidRPr="00F30D79" w:rsidRDefault="0072348B" w:rsidP="007234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0D79">
              <w:rPr>
                <w:rFonts w:ascii="Times New Roman" w:eastAsia="Times New Roman" w:hAnsi="Times New Roman" w:cs="Times New Roman"/>
                <w:color w:val="000000"/>
              </w:rPr>
              <w:t>Chadron State College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868C" w14:textId="11559C5A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$897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7210" w14:textId="099C06DC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$0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BB69" w14:textId="79993D7D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$897 </w:t>
            </w:r>
          </w:p>
        </w:tc>
      </w:tr>
      <w:tr w:rsidR="0072348B" w:rsidRPr="00AE064F" w14:paraId="65CE2E29" w14:textId="77777777" w:rsidTr="001F4278">
        <w:trPr>
          <w:trHeight w:val="31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1415" w14:textId="77777777" w:rsidR="0072348B" w:rsidRPr="00F30D79" w:rsidRDefault="0072348B" w:rsidP="007234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0D79">
              <w:rPr>
                <w:rFonts w:ascii="Times New Roman" w:eastAsia="Times New Roman" w:hAnsi="Times New Roman" w:cs="Times New Roman"/>
                <w:color w:val="000000"/>
              </w:rPr>
              <w:t>Ashworth College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43EB" w14:textId="48DE5755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$597 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637E" w14:textId="05D2CE07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$0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996F" w14:textId="60A769AB" w:rsidR="0072348B" w:rsidRPr="00F30D79" w:rsidRDefault="0072348B" w:rsidP="0072348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E064F">
              <w:rPr>
                <w:rFonts w:ascii="Times New Roman" w:hAnsi="Times New Roman" w:cs="Times New Roman"/>
                <w:color w:val="000000"/>
              </w:rPr>
              <w:t xml:space="preserve">$597 </w:t>
            </w:r>
          </w:p>
        </w:tc>
      </w:tr>
    </w:tbl>
    <w:p w14:paraId="133D500E" w14:textId="77777777" w:rsidR="004E6F0F" w:rsidRDefault="004E6F0F" w:rsidP="00A439A9">
      <w:pPr>
        <w:spacing w:after="60"/>
        <w:rPr>
          <w:rFonts w:ascii="Times New Roman" w:eastAsia="Times New Roman" w:hAnsi="Times New Roman" w:cs="Times New Roman"/>
          <w:sz w:val="24"/>
          <w:szCs w:val="24"/>
        </w:rPr>
      </w:pPr>
    </w:p>
    <w:p w14:paraId="30157C76" w14:textId="77777777" w:rsidR="004E6F0F" w:rsidRDefault="004E6F0F" w:rsidP="006E4F29">
      <w:pPr>
        <w:spacing w:after="6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D10A9FE" w14:textId="77777777" w:rsidR="004E6F0F" w:rsidRDefault="004E6F0F" w:rsidP="006E4F29">
      <w:pPr>
        <w:spacing w:after="6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BCABAE5" w14:textId="77777777" w:rsidR="004E6F0F" w:rsidRDefault="004E6F0F" w:rsidP="006E4F29">
      <w:pPr>
        <w:spacing w:after="6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060FE72" w14:textId="77777777" w:rsidR="004E6F0F" w:rsidRDefault="004E6F0F" w:rsidP="006E4F29">
      <w:pPr>
        <w:spacing w:after="6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28AB45A" w14:textId="77777777" w:rsidR="004E6F0F" w:rsidRDefault="004E6F0F" w:rsidP="006E4F29">
      <w:pPr>
        <w:spacing w:after="6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0438220" w14:textId="77777777" w:rsidR="004E6F0F" w:rsidRDefault="004E6F0F" w:rsidP="006E4F29">
      <w:pPr>
        <w:spacing w:after="6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DAC742E" w14:textId="77777777" w:rsidR="004E6F0F" w:rsidRDefault="004E6F0F" w:rsidP="006E4F29">
      <w:pPr>
        <w:spacing w:after="6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6934F2A" w14:textId="77777777" w:rsidR="004E6F0F" w:rsidRDefault="004E6F0F" w:rsidP="006E4F29">
      <w:pPr>
        <w:spacing w:after="6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71CCAA0" w14:textId="77777777" w:rsidR="004E6F0F" w:rsidRDefault="004E6F0F" w:rsidP="006E4F29">
      <w:pPr>
        <w:spacing w:after="6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5A4FB56" w14:textId="77777777" w:rsidR="004E6F0F" w:rsidRDefault="004E6F0F" w:rsidP="006E4F29">
      <w:pPr>
        <w:spacing w:after="6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2F78135" w14:textId="77777777" w:rsidR="00DA425A" w:rsidRDefault="00DA425A" w:rsidP="006E4F29">
      <w:pPr>
        <w:spacing w:after="60"/>
        <w:ind w:left="1080"/>
        <w:rPr>
          <w:rFonts w:ascii="Times New Roman" w:hAnsi="Times New Roman" w:cs="Times New Roman"/>
          <w:sz w:val="24"/>
          <w:szCs w:val="24"/>
        </w:rPr>
      </w:pPr>
    </w:p>
    <w:p w14:paraId="6BBF5E54" w14:textId="444C555D" w:rsidR="00707207" w:rsidRDefault="00FB41D4" w:rsidP="00B83357">
      <w:pPr>
        <w:pStyle w:val="ListParagraph"/>
        <w:numPr>
          <w:ilvl w:val="0"/>
          <w:numId w:val="18"/>
        </w:numPr>
        <w:spacing w:after="60"/>
        <w:ind w:left="360"/>
        <w:rPr>
          <w:rFonts w:ascii="Times New Roman" w:hAnsi="Times New Roman" w:cs="Times New Roman"/>
          <w:sz w:val="24"/>
          <w:szCs w:val="24"/>
        </w:rPr>
      </w:pPr>
      <w:r w:rsidRPr="006E4F29">
        <w:rPr>
          <w:rFonts w:ascii="Times New Roman" w:hAnsi="Times New Roman" w:cs="Times New Roman"/>
          <w:sz w:val="24"/>
          <w:szCs w:val="24"/>
        </w:rPr>
        <w:t>Nonresident</w:t>
      </w:r>
      <w:r w:rsidR="003320E4" w:rsidRPr="006E4F29">
        <w:rPr>
          <w:rFonts w:ascii="Times New Roman" w:hAnsi="Times New Roman" w:cs="Times New Roman"/>
          <w:sz w:val="24"/>
          <w:szCs w:val="24"/>
        </w:rPr>
        <w:t xml:space="preserve"> enrollments will be integral to creating a sustainable business model.</w:t>
      </w:r>
      <w:r w:rsidR="00077917" w:rsidRPr="006E4F29">
        <w:rPr>
          <w:rFonts w:ascii="Times New Roman" w:hAnsi="Times New Roman" w:cs="Times New Roman"/>
          <w:sz w:val="24"/>
          <w:szCs w:val="24"/>
        </w:rPr>
        <w:t xml:space="preserve"> </w:t>
      </w:r>
      <w:r w:rsidR="00F54ACF" w:rsidRPr="006E4F29">
        <w:rPr>
          <w:rFonts w:ascii="Times New Roman" w:hAnsi="Times New Roman" w:cs="Times New Roman"/>
          <w:sz w:val="24"/>
          <w:szCs w:val="24"/>
        </w:rPr>
        <w:t xml:space="preserve">The recent decrease in nonresident online program seeker tuition </w:t>
      </w:r>
      <w:r w:rsidR="009A2C83" w:rsidRPr="006E4F29">
        <w:rPr>
          <w:rFonts w:ascii="Times New Roman" w:hAnsi="Times New Roman" w:cs="Times New Roman"/>
          <w:sz w:val="24"/>
          <w:szCs w:val="24"/>
        </w:rPr>
        <w:t xml:space="preserve">was significant and necessary, and </w:t>
      </w:r>
      <w:r w:rsidR="00992A7D">
        <w:rPr>
          <w:rFonts w:ascii="Times New Roman" w:hAnsi="Times New Roman" w:cs="Times New Roman"/>
          <w:sz w:val="24"/>
          <w:szCs w:val="24"/>
        </w:rPr>
        <w:t>the recommended additional</w:t>
      </w:r>
      <w:r w:rsidR="009A2C83" w:rsidRPr="006E4F29">
        <w:rPr>
          <w:rFonts w:ascii="Times New Roman" w:hAnsi="Times New Roman" w:cs="Times New Roman"/>
          <w:sz w:val="24"/>
          <w:szCs w:val="24"/>
        </w:rPr>
        <w:t xml:space="preserve"> decrease </w:t>
      </w:r>
      <w:r w:rsidR="009A47C9">
        <w:rPr>
          <w:rFonts w:ascii="Times New Roman" w:hAnsi="Times New Roman" w:cs="Times New Roman"/>
          <w:sz w:val="24"/>
          <w:szCs w:val="24"/>
        </w:rPr>
        <w:t xml:space="preserve">is </w:t>
      </w:r>
      <w:r w:rsidR="009A2C83" w:rsidRPr="006E4F29">
        <w:rPr>
          <w:rFonts w:ascii="Times New Roman" w:hAnsi="Times New Roman" w:cs="Times New Roman"/>
          <w:sz w:val="24"/>
          <w:szCs w:val="24"/>
        </w:rPr>
        <w:t>minimal in comparison.</w:t>
      </w:r>
    </w:p>
    <w:p w14:paraId="029F0AF3" w14:textId="77777777" w:rsidR="00312A9C" w:rsidRPr="00707207" w:rsidRDefault="00312A9C" w:rsidP="00312A9C">
      <w:pPr>
        <w:pStyle w:val="ListParagraph"/>
        <w:spacing w:after="6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090" w:type="dxa"/>
        <w:tblInd w:w="355" w:type="dxa"/>
        <w:tblLook w:val="04A0" w:firstRow="1" w:lastRow="0" w:firstColumn="1" w:lastColumn="0" w:noHBand="0" w:noVBand="1"/>
      </w:tblPr>
      <w:tblGrid>
        <w:gridCol w:w="990"/>
        <w:gridCol w:w="1445"/>
        <w:gridCol w:w="2430"/>
        <w:gridCol w:w="2070"/>
        <w:gridCol w:w="2155"/>
      </w:tblGrid>
      <w:tr w:rsidR="00707207" w:rsidRPr="00E56CA0" w14:paraId="69F148D9" w14:textId="77777777" w:rsidTr="00707207">
        <w:trPr>
          <w:trHeight w:val="5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92B11B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Credits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A12490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E04744A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CURRENT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Undergraduate Nonresident </w:t>
            </w: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In-Person Program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Seeker</w:t>
            </w: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BEE1BC3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CURRENT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Undergraduate Nonresident Online</w:t>
            </w: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Program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Seeker</w:t>
            </w: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8AC02B9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RECOMMENDED Undergraduate Nonresident Online</w:t>
            </w: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Program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Seeker</w:t>
            </w: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707207" w:rsidRPr="00E56CA0" w14:paraId="3DAF45C5" w14:textId="77777777" w:rsidTr="00707207">
        <w:trPr>
          <w:trHeight w:val="28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9E45" w14:textId="77777777" w:rsidR="00707207" w:rsidRPr="00E56CA0" w:rsidRDefault="00707207" w:rsidP="001F4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BD6B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Tuition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917B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$665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ECD6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$345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765B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$289</w:t>
            </w:r>
          </w:p>
        </w:tc>
      </w:tr>
      <w:tr w:rsidR="00707207" w:rsidRPr="00E56CA0" w14:paraId="18701D27" w14:textId="77777777" w:rsidTr="00707207">
        <w:trPr>
          <w:trHeight w:val="28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45FB3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144C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Fees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58EA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$133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D06B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$55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5052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$85</w:t>
            </w:r>
          </w:p>
        </w:tc>
      </w:tr>
      <w:tr w:rsidR="00707207" w:rsidRPr="00E56CA0" w14:paraId="1B0EB4A2" w14:textId="77777777" w:rsidTr="00707207">
        <w:trPr>
          <w:trHeight w:val="28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B1FF6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DC16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08EA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$798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D971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$400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9521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$374</w:t>
            </w:r>
          </w:p>
        </w:tc>
      </w:tr>
      <w:tr w:rsidR="00707207" w:rsidRPr="00E56CA0" w14:paraId="541054FA" w14:textId="77777777" w:rsidTr="00707207">
        <w:trPr>
          <w:trHeight w:val="28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3473AF" w14:textId="77777777" w:rsidR="00707207" w:rsidRPr="00E56CA0" w:rsidRDefault="00707207" w:rsidP="001F4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46C954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Tuition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A683AA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$1,995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15FD08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$1,035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98E185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$867</w:t>
            </w:r>
          </w:p>
        </w:tc>
      </w:tr>
      <w:tr w:rsidR="00707207" w:rsidRPr="00E56CA0" w14:paraId="3649E5D6" w14:textId="77777777" w:rsidTr="00707207">
        <w:trPr>
          <w:trHeight w:val="28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8D45D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17A996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Fees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D1A301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$218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672A17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$165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C68E32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$255</w:t>
            </w:r>
          </w:p>
        </w:tc>
      </w:tr>
      <w:tr w:rsidR="00707207" w:rsidRPr="00E56CA0" w14:paraId="15210540" w14:textId="77777777" w:rsidTr="00707207">
        <w:trPr>
          <w:trHeight w:val="28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31C22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5B1294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E48384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$2,213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96514B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$1,200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B98B48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$1,122</w:t>
            </w:r>
          </w:p>
        </w:tc>
      </w:tr>
      <w:tr w:rsidR="00707207" w:rsidRPr="00E56CA0" w14:paraId="1A120FB9" w14:textId="77777777" w:rsidTr="00707207">
        <w:trPr>
          <w:trHeight w:val="28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35A7" w14:textId="77777777" w:rsidR="00707207" w:rsidRPr="00E56CA0" w:rsidRDefault="00707207" w:rsidP="001F4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137E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Tuition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C215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$3,990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7C77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$2,070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BD19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$1,734</w:t>
            </w:r>
          </w:p>
        </w:tc>
      </w:tr>
      <w:tr w:rsidR="00707207" w:rsidRPr="00E56CA0" w14:paraId="19052497" w14:textId="77777777" w:rsidTr="00707207">
        <w:trPr>
          <w:trHeight w:val="28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1E30E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686C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Fees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FD5B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$820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6B4B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$330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F0EB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$510</w:t>
            </w:r>
          </w:p>
        </w:tc>
      </w:tr>
      <w:tr w:rsidR="00707207" w:rsidRPr="00E56CA0" w14:paraId="25B5DBB9" w14:textId="77777777" w:rsidTr="00707207">
        <w:trPr>
          <w:trHeight w:val="28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977B0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9C0B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0446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$4,810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C6B3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$2,400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8FA0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$2,244</w:t>
            </w:r>
          </w:p>
        </w:tc>
      </w:tr>
      <w:tr w:rsidR="00707207" w:rsidRPr="00E56CA0" w14:paraId="6C031126" w14:textId="77777777" w:rsidTr="00707207">
        <w:trPr>
          <w:trHeight w:val="28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BAFF94" w14:textId="77777777" w:rsidR="00707207" w:rsidRPr="00E56CA0" w:rsidRDefault="00707207" w:rsidP="001F4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EBB386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Tuition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52DE97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$5,985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322890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$3,105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4AF0C3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$2,601</w:t>
            </w:r>
          </w:p>
        </w:tc>
      </w:tr>
      <w:tr w:rsidR="00707207" w:rsidRPr="00E56CA0" w14:paraId="64C49CA9" w14:textId="77777777" w:rsidTr="00707207">
        <w:trPr>
          <w:trHeight w:val="28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5D45E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A0F3D6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Fees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B742D8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$820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8C13BC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$495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DE0723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$765</w:t>
            </w:r>
          </w:p>
        </w:tc>
      </w:tr>
      <w:tr w:rsidR="00707207" w:rsidRPr="00E56CA0" w14:paraId="2D3B52E7" w14:textId="77777777" w:rsidTr="00707207">
        <w:trPr>
          <w:trHeight w:val="28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ADC27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9CBF6D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688AB8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$6,805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9E91AE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$3,600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479C13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$3,366</w:t>
            </w:r>
          </w:p>
        </w:tc>
      </w:tr>
      <w:tr w:rsidR="00707207" w:rsidRPr="00E56CA0" w14:paraId="7D811065" w14:textId="77777777" w:rsidTr="00707207">
        <w:trPr>
          <w:trHeight w:val="28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4521" w14:textId="77777777" w:rsidR="00707207" w:rsidRPr="00E56CA0" w:rsidRDefault="00707207" w:rsidP="001F4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DB55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Tuition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0547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$9,975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2D83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$5,175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E7AF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$3,468</w:t>
            </w:r>
          </w:p>
        </w:tc>
      </w:tr>
      <w:tr w:rsidR="00707207" w:rsidRPr="00E56CA0" w14:paraId="51E9D468" w14:textId="77777777" w:rsidTr="00707207">
        <w:trPr>
          <w:trHeight w:val="28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EDB24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D602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Fees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F413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$820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6595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$660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AF18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$1,020</w:t>
            </w:r>
          </w:p>
        </w:tc>
      </w:tr>
      <w:tr w:rsidR="00707207" w:rsidRPr="00E56CA0" w14:paraId="49698109" w14:textId="77777777" w:rsidTr="00707207">
        <w:trPr>
          <w:trHeight w:val="28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67C75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4129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A5A0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$10,795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BBE7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$5,835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390D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$4,488</w:t>
            </w:r>
          </w:p>
        </w:tc>
      </w:tr>
      <w:tr w:rsidR="00707207" w:rsidRPr="00E56CA0" w14:paraId="493D0EA2" w14:textId="77777777" w:rsidTr="00707207">
        <w:trPr>
          <w:trHeight w:val="28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8823E3" w14:textId="77777777" w:rsidR="00707207" w:rsidRPr="00E56CA0" w:rsidRDefault="00707207" w:rsidP="001F4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D5B1B3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Tuition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0F1225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$9,975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37E16B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$5,175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CFA6C1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$4,335</w:t>
            </w:r>
          </w:p>
        </w:tc>
      </w:tr>
      <w:tr w:rsidR="00707207" w:rsidRPr="00E56CA0" w14:paraId="2013D851" w14:textId="77777777" w:rsidTr="00707207">
        <w:trPr>
          <w:trHeight w:val="28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7327F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08FD38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Fees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E700F7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$820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1D09B5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$825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0A1D52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color w:val="000000"/>
              </w:rPr>
              <w:t>$1,275</w:t>
            </w:r>
          </w:p>
        </w:tc>
      </w:tr>
      <w:tr w:rsidR="00707207" w:rsidRPr="00E56CA0" w14:paraId="5E9A7C0D" w14:textId="77777777" w:rsidTr="00707207">
        <w:trPr>
          <w:trHeight w:val="28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E5127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5C01B6" w14:textId="77777777" w:rsidR="00707207" w:rsidRPr="00E56CA0" w:rsidRDefault="00707207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BA73F7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$10,795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FFA432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$6,000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4AE75C" w14:textId="77777777" w:rsidR="00707207" w:rsidRPr="00E56CA0" w:rsidRDefault="00707207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6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$5,610</w:t>
            </w:r>
          </w:p>
        </w:tc>
      </w:tr>
    </w:tbl>
    <w:p w14:paraId="6BA9BB06" w14:textId="77777777" w:rsidR="00DA425A" w:rsidRDefault="00DA425A" w:rsidP="00BB7376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3AF8F" w14:textId="77777777" w:rsidR="00DA425A" w:rsidRDefault="00DA425A" w:rsidP="00BB7376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77388" w14:textId="77777777" w:rsidR="00DA425A" w:rsidRDefault="00DA425A" w:rsidP="00BB7376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1F120" w14:textId="77777777" w:rsidR="00DA425A" w:rsidRDefault="00DA425A" w:rsidP="00BB7376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DAE97" w14:textId="77777777" w:rsidR="00DA425A" w:rsidRDefault="00DA425A" w:rsidP="00BB7376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ABF34" w14:textId="77777777" w:rsidR="00DA425A" w:rsidRDefault="00DA425A" w:rsidP="00BB7376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D66CD" w14:textId="77777777" w:rsidR="00DA425A" w:rsidRDefault="00DA425A" w:rsidP="00BB7376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DD5D8" w14:textId="77777777" w:rsidR="00DA425A" w:rsidRDefault="00DA425A" w:rsidP="00BB7376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AA229" w14:textId="77777777" w:rsidR="00DA425A" w:rsidRDefault="00DA425A" w:rsidP="00BB7376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892FE" w14:textId="77777777" w:rsidR="00DA425A" w:rsidRDefault="00DA425A" w:rsidP="00BB7376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A8BEF" w14:textId="77777777" w:rsidR="00DA425A" w:rsidRDefault="00DA425A" w:rsidP="00BB7376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786C3" w14:textId="77777777" w:rsidR="00D70DC6" w:rsidRDefault="00D70DC6" w:rsidP="00BB7376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9D285" w14:textId="77777777" w:rsidR="00D70DC6" w:rsidRDefault="00D70DC6" w:rsidP="00BB7376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46BCA" w14:textId="77777777" w:rsidR="00D70DC6" w:rsidRDefault="00D70DC6" w:rsidP="00BB7376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95E5F" w14:textId="77777777" w:rsidR="002E1C87" w:rsidRDefault="002E1C87" w:rsidP="00BB7376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5ADE6" w14:textId="77777777" w:rsidR="00DA425A" w:rsidRDefault="00DA425A" w:rsidP="00BB7376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3820F" w14:textId="77777777" w:rsidR="00DA425A" w:rsidRDefault="00DA425A" w:rsidP="00BB7376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239FD" w14:textId="77777777" w:rsidR="00011D2A" w:rsidRDefault="0091422A" w:rsidP="00BB7376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4B3BF8">
        <w:rPr>
          <w:rFonts w:ascii="Times New Roman" w:hAnsi="Times New Roman" w:cs="Times New Roman"/>
          <w:b/>
          <w:bCs/>
          <w:sz w:val="24"/>
          <w:szCs w:val="24"/>
        </w:rPr>
        <w:t xml:space="preserve">Rationale </w:t>
      </w:r>
      <w:r w:rsidR="004B3BF8" w:rsidRPr="004B3BF8">
        <w:rPr>
          <w:rFonts w:ascii="Times New Roman" w:hAnsi="Times New Roman" w:cs="Times New Roman"/>
          <w:b/>
          <w:bCs/>
          <w:sz w:val="24"/>
          <w:szCs w:val="24"/>
        </w:rPr>
        <w:t>for Action 3:</w:t>
      </w:r>
      <w:r w:rsidRPr="004B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732FD7" w14:textId="42E58F81" w:rsidR="00B15CE3" w:rsidRPr="004B3BF8" w:rsidRDefault="00BF4936" w:rsidP="00BB7376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4B3BF8">
        <w:rPr>
          <w:rFonts w:ascii="Times New Roman" w:hAnsi="Times New Roman" w:cs="Times New Roman"/>
          <w:b/>
          <w:bCs/>
          <w:sz w:val="24"/>
          <w:szCs w:val="24"/>
        </w:rPr>
        <w:t xml:space="preserve">Increase </w:t>
      </w:r>
      <w:r w:rsidR="00183CF4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4B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78BB">
        <w:rPr>
          <w:rFonts w:ascii="Times New Roman" w:hAnsi="Times New Roman" w:cs="Times New Roman"/>
          <w:b/>
          <w:bCs/>
          <w:sz w:val="24"/>
          <w:szCs w:val="24"/>
        </w:rPr>
        <w:t>Distance Delivery</w:t>
      </w:r>
      <w:r w:rsidRPr="004B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4E4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4B3BF8">
        <w:rPr>
          <w:rFonts w:ascii="Times New Roman" w:hAnsi="Times New Roman" w:cs="Times New Roman"/>
          <w:b/>
          <w:bCs/>
          <w:sz w:val="24"/>
          <w:szCs w:val="24"/>
        </w:rPr>
        <w:t xml:space="preserve">ee </w:t>
      </w:r>
      <w:r w:rsidR="002542FC">
        <w:rPr>
          <w:rFonts w:ascii="Times New Roman" w:hAnsi="Times New Roman" w:cs="Times New Roman"/>
          <w:b/>
          <w:bCs/>
          <w:sz w:val="24"/>
          <w:szCs w:val="24"/>
        </w:rPr>
        <w:t>from $14 to $44</w:t>
      </w:r>
      <w:r w:rsidR="00183CF4">
        <w:rPr>
          <w:rFonts w:ascii="Times New Roman" w:hAnsi="Times New Roman" w:cs="Times New Roman"/>
          <w:b/>
          <w:bCs/>
          <w:sz w:val="24"/>
          <w:szCs w:val="24"/>
        </w:rPr>
        <w:t xml:space="preserve"> Per Credit</w:t>
      </w:r>
    </w:p>
    <w:p w14:paraId="5FB7BA49" w14:textId="77777777" w:rsidR="00312A9C" w:rsidRPr="00BB7376" w:rsidRDefault="00312A9C" w:rsidP="00BB7376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6E208" w14:textId="739C5C1A" w:rsidR="00E91D4B" w:rsidRPr="00312A9C" w:rsidRDefault="00E91D4B" w:rsidP="002E1C87">
      <w:pPr>
        <w:pStyle w:val="ListParagraph"/>
        <w:numPr>
          <w:ilvl w:val="0"/>
          <w:numId w:val="17"/>
        </w:numPr>
        <w:spacing w:after="60"/>
        <w:ind w:left="360"/>
        <w:rPr>
          <w:rFonts w:ascii="Times New Roman" w:hAnsi="Times New Roman" w:cs="Times New Roman"/>
          <w:sz w:val="24"/>
          <w:szCs w:val="24"/>
        </w:rPr>
      </w:pPr>
      <w:r w:rsidRPr="00312A9C">
        <w:rPr>
          <w:rFonts w:ascii="Times New Roman" w:hAnsi="Times New Roman" w:cs="Times New Roman"/>
          <w:sz w:val="24"/>
          <w:szCs w:val="24"/>
        </w:rPr>
        <w:t xml:space="preserve">Academic departments are not receiving the </w:t>
      </w:r>
      <w:r w:rsidR="00B506CD" w:rsidRPr="00312A9C">
        <w:rPr>
          <w:rFonts w:ascii="Times New Roman" w:hAnsi="Times New Roman" w:cs="Times New Roman"/>
          <w:sz w:val="24"/>
          <w:szCs w:val="24"/>
        </w:rPr>
        <w:t>needed</w:t>
      </w:r>
      <w:r w:rsidRPr="00312A9C">
        <w:rPr>
          <w:rFonts w:ascii="Times New Roman" w:hAnsi="Times New Roman" w:cs="Times New Roman"/>
          <w:sz w:val="24"/>
          <w:szCs w:val="24"/>
        </w:rPr>
        <w:t xml:space="preserve"> </w:t>
      </w:r>
      <w:r w:rsidR="00EA1D52" w:rsidRPr="00312A9C">
        <w:rPr>
          <w:rFonts w:ascii="Times New Roman" w:hAnsi="Times New Roman" w:cs="Times New Roman"/>
          <w:sz w:val="24"/>
          <w:szCs w:val="24"/>
        </w:rPr>
        <w:t xml:space="preserve">fee </w:t>
      </w:r>
      <w:r w:rsidRPr="00312A9C">
        <w:rPr>
          <w:rFonts w:ascii="Times New Roman" w:hAnsi="Times New Roman" w:cs="Times New Roman"/>
          <w:sz w:val="24"/>
          <w:szCs w:val="24"/>
        </w:rPr>
        <w:t xml:space="preserve">revenue to support online </w:t>
      </w:r>
      <w:r w:rsidR="00496208" w:rsidRPr="00312A9C">
        <w:rPr>
          <w:rFonts w:ascii="Times New Roman" w:hAnsi="Times New Roman" w:cs="Times New Roman"/>
          <w:sz w:val="24"/>
          <w:szCs w:val="24"/>
        </w:rPr>
        <w:t>programs</w:t>
      </w:r>
      <w:r w:rsidR="002273EF">
        <w:rPr>
          <w:rFonts w:ascii="Times New Roman" w:hAnsi="Times New Roman" w:cs="Times New Roman"/>
          <w:sz w:val="24"/>
          <w:szCs w:val="24"/>
        </w:rPr>
        <w:t xml:space="preserve"> (s</w:t>
      </w:r>
      <w:r w:rsidR="002273EF" w:rsidRPr="00312A9C">
        <w:rPr>
          <w:rFonts w:ascii="Times New Roman" w:hAnsi="Times New Roman" w:cs="Times New Roman"/>
          <w:sz w:val="24"/>
          <w:szCs w:val="24"/>
        </w:rPr>
        <w:t>ee</w:t>
      </w:r>
      <w:r w:rsidR="001353C7">
        <w:rPr>
          <w:rFonts w:ascii="Times New Roman" w:hAnsi="Times New Roman" w:cs="Times New Roman"/>
          <w:sz w:val="24"/>
          <w:szCs w:val="24"/>
        </w:rPr>
        <w:t xml:space="preserve"> </w:t>
      </w:r>
      <w:r w:rsidR="002273EF">
        <w:rPr>
          <w:rFonts w:ascii="Times New Roman" w:hAnsi="Times New Roman" w:cs="Times New Roman"/>
          <w:sz w:val="24"/>
          <w:szCs w:val="24"/>
        </w:rPr>
        <w:t>p</w:t>
      </w:r>
      <w:r w:rsidR="002273EF" w:rsidRPr="00312A9C">
        <w:rPr>
          <w:rFonts w:ascii="Times New Roman" w:hAnsi="Times New Roman" w:cs="Times New Roman"/>
          <w:sz w:val="24"/>
          <w:szCs w:val="24"/>
        </w:rPr>
        <w:t>age 3</w:t>
      </w:r>
      <w:r w:rsidR="001353C7">
        <w:rPr>
          <w:rFonts w:ascii="Times New Roman" w:hAnsi="Times New Roman" w:cs="Times New Roman"/>
          <w:sz w:val="24"/>
          <w:szCs w:val="24"/>
        </w:rPr>
        <w:t xml:space="preserve"> table</w:t>
      </w:r>
      <w:r w:rsidR="002273EF">
        <w:rPr>
          <w:rFonts w:ascii="Times New Roman" w:hAnsi="Times New Roman" w:cs="Times New Roman"/>
          <w:sz w:val="24"/>
          <w:szCs w:val="24"/>
        </w:rPr>
        <w:t>).</w:t>
      </w:r>
      <w:r w:rsidR="00CA719B">
        <w:rPr>
          <w:rFonts w:ascii="Times New Roman" w:hAnsi="Times New Roman" w:cs="Times New Roman"/>
          <w:sz w:val="24"/>
          <w:szCs w:val="24"/>
        </w:rPr>
        <w:t xml:space="preserve"> 100% of </w:t>
      </w:r>
      <w:r w:rsidR="006E60FF">
        <w:rPr>
          <w:rFonts w:ascii="Times New Roman" w:hAnsi="Times New Roman" w:cs="Times New Roman"/>
          <w:sz w:val="24"/>
          <w:szCs w:val="24"/>
        </w:rPr>
        <w:t>the recommended</w:t>
      </w:r>
      <w:r w:rsidR="00CA719B">
        <w:rPr>
          <w:rFonts w:ascii="Times New Roman" w:hAnsi="Times New Roman" w:cs="Times New Roman"/>
          <w:sz w:val="24"/>
          <w:szCs w:val="24"/>
        </w:rPr>
        <w:t xml:space="preserve"> fee increase goes to the academic department offering the course. </w:t>
      </w:r>
    </w:p>
    <w:p w14:paraId="220A7BEF" w14:textId="505FE3F6" w:rsidR="003320E4" w:rsidRPr="00312A9C" w:rsidRDefault="003320E4" w:rsidP="002E1C87">
      <w:pPr>
        <w:pStyle w:val="ListParagraph"/>
        <w:numPr>
          <w:ilvl w:val="0"/>
          <w:numId w:val="17"/>
        </w:numPr>
        <w:spacing w:after="60"/>
        <w:ind w:left="360"/>
        <w:rPr>
          <w:rFonts w:ascii="Times New Roman" w:hAnsi="Times New Roman" w:cs="Times New Roman"/>
          <w:sz w:val="24"/>
          <w:szCs w:val="24"/>
        </w:rPr>
      </w:pPr>
      <w:r w:rsidRPr="00312A9C">
        <w:rPr>
          <w:rFonts w:ascii="Times New Roman" w:hAnsi="Times New Roman" w:cs="Times New Roman"/>
          <w:sz w:val="24"/>
          <w:szCs w:val="24"/>
        </w:rPr>
        <w:t xml:space="preserve">The fee increase contributes to </w:t>
      </w:r>
      <w:r w:rsidR="00496208" w:rsidRPr="00312A9C">
        <w:rPr>
          <w:rFonts w:ascii="Times New Roman" w:hAnsi="Times New Roman" w:cs="Times New Roman"/>
          <w:sz w:val="24"/>
          <w:szCs w:val="24"/>
        </w:rPr>
        <w:t xml:space="preserve">creating an </w:t>
      </w:r>
      <w:r w:rsidRPr="00312A9C">
        <w:rPr>
          <w:rFonts w:ascii="Times New Roman" w:hAnsi="Times New Roman" w:cs="Times New Roman"/>
          <w:sz w:val="24"/>
          <w:szCs w:val="24"/>
        </w:rPr>
        <w:t xml:space="preserve">active, vibrant </w:t>
      </w:r>
      <w:r w:rsidR="007D6C39">
        <w:rPr>
          <w:rFonts w:ascii="Times New Roman" w:hAnsi="Times New Roman" w:cs="Times New Roman"/>
          <w:sz w:val="24"/>
          <w:szCs w:val="24"/>
        </w:rPr>
        <w:t>on-</w:t>
      </w:r>
      <w:r w:rsidRPr="00312A9C">
        <w:rPr>
          <w:rFonts w:ascii="Times New Roman" w:hAnsi="Times New Roman" w:cs="Times New Roman"/>
          <w:sz w:val="24"/>
          <w:szCs w:val="24"/>
        </w:rPr>
        <w:t>campus</w:t>
      </w:r>
      <w:r w:rsidR="00C57F54">
        <w:rPr>
          <w:rFonts w:ascii="Times New Roman" w:hAnsi="Times New Roman" w:cs="Times New Roman"/>
          <w:sz w:val="24"/>
          <w:szCs w:val="24"/>
        </w:rPr>
        <w:t xml:space="preserve"> experience</w:t>
      </w:r>
      <w:r w:rsidRPr="00312A9C">
        <w:rPr>
          <w:rFonts w:ascii="Times New Roman" w:hAnsi="Times New Roman" w:cs="Times New Roman"/>
          <w:sz w:val="24"/>
          <w:szCs w:val="24"/>
        </w:rPr>
        <w:t>; students pursuing in-person programs may register for online sections, but they will pay a small premium</w:t>
      </w:r>
      <w:r w:rsidR="00FB41D4" w:rsidRPr="00312A9C">
        <w:rPr>
          <w:rFonts w:ascii="Times New Roman" w:hAnsi="Times New Roman" w:cs="Times New Roman"/>
          <w:sz w:val="24"/>
          <w:szCs w:val="24"/>
        </w:rPr>
        <w:t xml:space="preserve"> ($</w:t>
      </w:r>
      <w:r w:rsidR="000F117C" w:rsidRPr="00312A9C">
        <w:rPr>
          <w:rFonts w:ascii="Times New Roman" w:hAnsi="Times New Roman" w:cs="Times New Roman"/>
          <w:sz w:val="24"/>
          <w:szCs w:val="24"/>
        </w:rPr>
        <w:t>44</w:t>
      </w:r>
      <w:r w:rsidR="00FB41D4" w:rsidRPr="00312A9C">
        <w:rPr>
          <w:rFonts w:ascii="Times New Roman" w:hAnsi="Times New Roman" w:cs="Times New Roman"/>
          <w:sz w:val="24"/>
          <w:szCs w:val="24"/>
        </w:rPr>
        <w:t xml:space="preserve"> per credit</w:t>
      </w:r>
      <w:r w:rsidR="00BF0770" w:rsidRPr="00312A9C">
        <w:rPr>
          <w:rFonts w:ascii="Times New Roman" w:hAnsi="Times New Roman" w:cs="Times New Roman"/>
          <w:sz w:val="24"/>
          <w:szCs w:val="24"/>
        </w:rPr>
        <w:t>, up from $14</w:t>
      </w:r>
      <w:r w:rsidR="00FB41D4" w:rsidRPr="00312A9C">
        <w:rPr>
          <w:rFonts w:ascii="Times New Roman" w:hAnsi="Times New Roman" w:cs="Times New Roman"/>
          <w:sz w:val="24"/>
          <w:szCs w:val="24"/>
        </w:rPr>
        <w:t>)</w:t>
      </w:r>
      <w:r w:rsidR="00F230C2">
        <w:rPr>
          <w:rFonts w:ascii="Times New Roman" w:hAnsi="Times New Roman" w:cs="Times New Roman"/>
          <w:sz w:val="24"/>
          <w:szCs w:val="24"/>
        </w:rPr>
        <w:t xml:space="preserve"> thus ensuring enrollment in in-person sections is the more affordable choice. </w:t>
      </w:r>
      <w:r w:rsidR="00E76A9C" w:rsidRPr="00312A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552F5" w14:textId="58B470B3" w:rsidR="002C6624" w:rsidRPr="008B76AB" w:rsidRDefault="002C6624" w:rsidP="002C6624">
      <w:pPr>
        <w:spacing w:after="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5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2340"/>
        <w:gridCol w:w="1530"/>
        <w:gridCol w:w="1710"/>
        <w:gridCol w:w="1620"/>
        <w:gridCol w:w="1805"/>
      </w:tblGrid>
      <w:tr w:rsidR="002C6624" w:rsidRPr="008B76AB" w14:paraId="29C1263F" w14:textId="77777777" w:rsidTr="005B4434">
        <w:trPr>
          <w:trHeight w:val="1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F6C50A7" w14:textId="77777777" w:rsidR="002C6624" w:rsidRPr="008B76AB" w:rsidRDefault="002C6624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  <w:hideMark/>
          </w:tcPr>
          <w:p w14:paraId="695EF3BA" w14:textId="175B7996" w:rsidR="002C6624" w:rsidRPr="008B76AB" w:rsidRDefault="002C6624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820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Online Program Seeker</w:t>
            </w:r>
            <w:r w:rsidR="00D16F30" w:rsidRPr="003C820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Fees</w:t>
            </w:r>
            <w:r w:rsidR="54ADA24E" w:rsidRPr="003C82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(Total</w:t>
            </w:r>
            <w:r w:rsidR="00330A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Schedule</w:t>
            </w:r>
            <w:r w:rsidR="54ADA24E" w:rsidRPr="003C82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)</w:t>
            </w:r>
            <w:r w:rsidR="00330A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– Per Credit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  <w:hideMark/>
          </w:tcPr>
          <w:p w14:paraId="7AB91756" w14:textId="0B39664B" w:rsidR="002C6624" w:rsidRPr="008B76AB" w:rsidRDefault="002C6624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In-Person Program Seeker </w:t>
            </w:r>
            <w:r w:rsidR="00D16F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Fees When They </w:t>
            </w:r>
            <w:r w:rsidRPr="008B7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Enroll in an Online Section (In Addition to In-Person Fee </w:t>
            </w:r>
            <w:r w:rsidR="004E78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Schedule</w:t>
            </w:r>
            <w:r w:rsidRPr="008B7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  <w:r w:rsidR="00330A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Per Credit</w:t>
            </w:r>
          </w:p>
        </w:tc>
      </w:tr>
      <w:tr w:rsidR="002C6624" w:rsidRPr="008B76AB" w14:paraId="355959C9" w14:textId="77777777" w:rsidTr="005B4434">
        <w:trPr>
          <w:trHeight w:val="8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F6DB" w14:textId="77777777" w:rsidR="002C6624" w:rsidRPr="008B76AB" w:rsidRDefault="002C6624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Fee Type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DF23B2" w14:textId="77777777" w:rsidR="002C6624" w:rsidRPr="008B76AB" w:rsidRDefault="002C6624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Current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669527C" w14:textId="77777777" w:rsidR="002C6624" w:rsidRPr="008B76AB" w:rsidRDefault="002C6624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Recommended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8E2B66" w14:textId="77777777" w:rsidR="002C6624" w:rsidRPr="008B76AB" w:rsidRDefault="002C6624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Current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623C56A" w14:textId="77777777" w:rsidR="002C6624" w:rsidRPr="008B76AB" w:rsidRDefault="002C6624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Recommended</w:t>
            </w:r>
          </w:p>
        </w:tc>
      </w:tr>
      <w:tr w:rsidR="002C6624" w:rsidRPr="008B76AB" w14:paraId="5B157F93" w14:textId="77777777" w:rsidTr="005B4434">
        <w:trPr>
          <w:trHeight w:val="17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4B89" w14:textId="63C815B1" w:rsidR="002C6624" w:rsidRPr="008B76AB" w:rsidRDefault="002C6624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color w:val="000000"/>
              </w:rPr>
              <w:t xml:space="preserve">Distance </w:t>
            </w:r>
            <w:r w:rsidR="006E60FF">
              <w:rPr>
                <w:rFonts w:ascii="Times New Roman" w:eastAsia="Times New Roman" w:hAnsi="Times New Roman" w:cs="Times New Roman"/>
                <w:color w:val="000000"/>
              </w:rPr>
              <w:t xml:space="preserve">Delivery </w:t>
            </w:r>
            <w:r w:rsidRPr="008B76AB">
              <w:rPr>
                <w:rFonts w:ascii="Times New Roman" w:eastAsia="Times New Roman" w:hAnsi="Times New Roman" w:cs="Times New Roman"/>
                <w:color w:val="000000"/>
              </w:rPr>
              <w:t>Fee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A69B" w14:textId="77777777" w:rsidR="002C6624" w:rsidRPr="008B76AB" w:rsidRDefault="002C6624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color w:val="000000"/>
              </w:rPr>
              <w:t>$14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5304800" w14:textId="54CDEE3C" w:rsidR="002C6624" w:rsidRPr="008B76AB" w:rsidRDefault="002C6624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color w:val="000000"/>
              </w:rPr>
              <w:t>$</w:t>
            </w:r>
            <w:r w:rsidR="00436A52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EA9D" w14:textId="77777777" w:rsidR="002C6624" w:rsidRPr="008B76AB" w:rsidRDefault="002C6624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color w:val="000000"/>
              </w:rPr>
              <w:t>$14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3A34EDE" w14:textId="0852B506" w:rsidR="002C6624" w:rsidRPr="008B76AB" w:rsidRDefault="002C6624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color w:val="000000"/>
              </w:rPr>
              <w:t>$</w:t>
            </w:r>
            <w:r w:rsidR="00436A5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8B76A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2C6624" w:rsidRPr="008B76AB" w14:paraId="10E7524C" w14:textId="77777777" w:rsidTr="005B4434">
        <w:trPr>
          <w:trHeight w:val="99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1E04" w14:textId="77777777" w:rsidR="002C6624" w:rsidRPr="008B76AB" w:rsidRDefault="002C6624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color w:val="000000"/>
              </w:rPr>
              <w:t>Student Services Fee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63B5" w14:textId="77777777" w:rsidR="002C6624" w:rsidRPr="008B76AB" w:rsidRDefault="002C6624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color w:val="000000"/>
              </w:rPr>
              <w:t>$35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605F1F2" w14:textId="77777777" w:rsidR="002C6624" w:rsidRPr="008B76AB" w:rsidRDefault="002C6624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color w:val="000000"/>
              </w:rPr>
              <w:t>$35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868F" w14:textId="77777777" w:rsidR="002C6624" w:rsidRPr="008B76AB" w:rsidRDefault="002C6624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D7A1E40" w14:textId="77777777" w:rsidR="002C6624" w:rsidRPr="008B76AB" w:rsidRDefault="002C6624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C6624" w:rsidRPr="008B76AB" w14:paraId="16F30F8E" w14:textId="77777777" w:rsidTr="005B4434">
        <w:trPr>
          <w:trHeight w:val="68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E74F" w14:textId="77777777" w:rsidR="002C6624" w:rsidRPr="008B76AB" w:rsidRDefault="002C6624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color w:val="000000"/>
              </w:rPr>
              <w:t>Advising Fee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6FEE" w14:textId="77777777" w:rsidR="002C6624" w:rsidRPr="008B76AB" w:rsidRDefault="002C6624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color w:val="000000"/>
              </w:rPr>
              <w:t>$6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F9CDA12" w14:textId="77777777" w:rsidR="002C6624" w:rsidRPr="008B76AB" w:rsidRDefault="002C6624" w:rsidP="001F427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color w:val="000000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D1DB" w14:textId="77777777" w:rsidR="002C6624" w:rsidRPr="008B76AB" w:rsidRDefault="002C6624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68DBF5C" w14:textId="77777777" w:rsidR="002C6624" w:rsidRPr="008B76AB" w:rsidRDefault="002C6624" w:rsidP="001F42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C6624" w:rsidRPr="008B76AB" w14:paraId="28F83C3B" w14:textId="77777777" w:rsidTr="005B4434">
        <w:trPr>
          <w:trHeight w:val="5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2070" w14:textId="77777777" w:rsidR="002C6624" w:rsidRPr="008B76AB" w:rsidRDefault="002C6624" w:rsidP="001F4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76B5E" w14:textId="77777777" w:rsidR="002C6624" w:rsidRPr="008B76AB" w:rsidRDefault="002C6624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$55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5EA03B" w14:textId="77777777" w:rsidR="002C6624" w:rsidRPr="008B76AB" w:rsidRDefault="002C6624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Pr="008B7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5E249" w14:textId="77777777" w:rsidR="002C6624" w:rsidRPr="008B76AB" w:rsidRDefault="002C6624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$14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36CA36" w14:textId="77777777" w:rsidR="002C6624" w:rsidRPr="008B76AB" w:rsidRDefault="002C6624" w:rsidP="001F42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</w:p>
        </w:tc>
      </w:tr>
    </w:tbl>
    <w:p w14:paraId="5A723AA1" w14:textId="77777777" w:rsidR="002C6624" w:rsidRDefault="002C6624" w:rsidP="002C6624">
      <w:pPr>
        <w:spacing w:after="60"/>
        <w:rPr>
          <w:rFonts w:ascii="Times New Roman" w:eastAsia="Times New Roman" w:hAnsi="Times New Roman" w:cs="Times New Roman"/>
        </w:rPr>
      </w:pPr>
    </w:p>
    <w:p w14:paraId="2A4B4948" w14:textId="77777777" w:rsidR="000D500E" w:rsidRPr="008B76AB" w:rsidRDefault="000D500E" w:rsidP="002C6624">
      <w:pPr>
        <w:spacing w:after="60"/>
        <w:rPr>
          <w:rFonts w:ascii="Times New Roman" w:eastAsia="Times New Roman" w:hAnsi="Times New Roman" w:cs="Times New Roman"/>
        </w:rPr>
      </w:pPr>
    </w:p>
    <w:p w14:paraId="0D86873D" w14:textId="08DBFCD2" w:rsidR="00D63222" w:rsidRPr="006E4F29" w:rsidRDefault="00D63222" w:rsidP="002C6624">
      <w:pPr>
        <w:spacing w:after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4F29">
        <w:rPr>
          <w:rFonts w:ascii="Times New Roman" w:eastAsia="Times New Roman" w:hAnsi="Times New Roman" w:cs="Times New Roman"/>
          <w:b/>
          <w:bCs/>
          <w:sz w:val="24"/>
          <w:szCs w:val="24"/>
        </w:rPr>
        <w:t>For Future Review</w:t>
      </w:r>
    </w:p>
    <w:p w14:paraId="1750A341" w14:textId="2841ABF1" w:rsidR="00D63222" w:rsidRPr="002C6624" w:rsidRDefault="003320E4" w:rsidP="002C6624">
      <w:pPr>
        <w:pStyle w:val="ListParagraph"/>
        <w:numPr>
          <w:ilvl w:val="0"/>
          <w:numId w:val="15"/>
        </w:numPr>
        <w:spacing w:after="60"/>
        <w:rPr>
          <w:rFonts w:ascii="Times New Roman" w:eastAsia="Times New Roman" w:hAnsi="Times New Roman" w:cs="Times New Roman"/>
          <w:sz w:val="24"/>
          <w:szCs w:val="24"/>
        </w:rPr>
      </w:pPr>
      <w:r w:rsidRPr="002C6624">
        <w:rPr>
          <w:rFonts w:ascii="Times New Roman" w:eastAsia="Times New Roman" w:hAnsi="Times New Roman" w:cs="Times New Roman"/>
          <w:sz w:val="24"/>
          <w:szCs w:val="24"/>
        </w:rPr>
        <w:t xml:space="preserve">Analyze </w:t>
      </w:r>
      <w:r w:rsidR="000D500E">
        <w:rPr>
          <w:rFonts w:ascii="Times New Roman" w:eastAsia="Times New Roman" w:hAnsi="Times New Roman" w:cs="Times New Roman"/>
          <w:sz w:val="24"/>
          <w:szCs w:val="24"/>
        </w:rPr>
        <w:t>ramifications of these actions.</w:t>
      </w:r>
    </w:p>
    <w:p w14:paraId="232D0493" w14:textId="375AD9EF" w:rsidR="008938D3" w:rsidRPr="002C6624" w:rsidRDefault="003320E4" w:rsidP="002C6624">
      <w:pPr>
        <w:pStyle w:val="ListParagraph"/>
        <w:numPr>
          <w:ilvl w:val="0"/>
          <w:numId w:val="15"/>
        </w:numPr>
        <w:spacing w:after="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6624">
        <w:rPr>
          <w:rFonts w:ascii="Times New Roman" w:eastAsia="Times New Roman" w:hAnsi="Times New Roman" w:cs="Times New Roman"/>
          <w:sz w:val="24"/>
          <w:szCs w:val="24"/>
        </w:rPr>
        <w:t>Review tuition and fees for every online g</w:t>
      </w:r>
      <w:r w:rsidR="00D63222" w:rsidRPr="002C6624">
        <w:rPr>
          <w:rFonts w:ascii="Times New Roman" w:eastAsia="Times New Roman" w:hAnsi="Times New Roman" w:cs="Times New Roman"/>
          <w:sz w:val="24"/>
          <w:szCs w:val="24"/>
        </w:rPr>
        <w:t xml:space="preserve">raduate </w:t>
      </w:r>
      <w:r w:rsidRPr="002C6624">
        <w:rPr>
          <w:rFonts w:ascii="Times New Roman" w:eastAsia="Times New Roman" w:hAnsi="Times New Roman" w:cs="Times New Roman"/>
          <w:sz w:val="24"/>
          <w:szCs w:val="24"/>
        </w:rPr>
        <w:t>program to ensure they are well-positioned compared to like programs at other institutions</w:t>
      </w:r>
      <w:r w:rsidR="00381E74" w:rsidRPr="002C6624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938D3" w:rsidRPr="002C6624" w:rsidSect="009C00EA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5789" w14:textId="77777777" w:rsidR="009B1F28" w:rsidRDefault="009B1F28" w:rsidP="00CA406A">
      <w:r>
        <w:separator/>
      </w:r>
    </w:p>
  </w:endnote>
  <w:endnote w:type="continuationSeparator" w:id="0">
    <w:p w14:paraId="37F27F02" w14:textId="77777777" w:rsidR="009B1F28" w:rsidRDefault="009B1F28" w:rsidP="00CA406A">
      <w:r>
        <w:continuationSeparator/>
      </w:r>
    </w:p>
  </w:endnote>
  <w:endnote w:type="continuationNotice" w:id="1">
    <w:p w14:paraId="16FB6544" w14:textId="77777777" w:rsidR="009B1F28" w:rsidRDefault="009B1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3062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</w:rPr>
    </w:sdtEndPr>
    <w:sdtContent>
      <w:p w14:paraId="14598174" w14:textId="57A71355" w:rsidR="00CA406A" w:rsidRPr="00AA6F9B" w:rsidRDefault="00CA406A" w:rsidP="00AA6F9B">
        <w:pPr>
          <w:spacing w:after="60"/>
          <w:rPr>
            <w:rFonts w:ascii="Times New Roman" w:hAnsi="Times New Roman" w:cs="Times New Roman"/>
            <w:b/>
            <w:bCs/>
          </w:rPr>
        </w:pPr>
        <w:r w:rsidRPr="00AA6F9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A6F9B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AA6F9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AA6F9B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2</w:t>
        </w:r>
        <w:r w:rsidRPr="00AA6F9B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fldChar w:fldCharType="end"/>
        </w:r>
        <w:r w:rsidRPr="00AA6F9B">
          <w:rPr>
            <w:rFonts w:ascii="Times New Roman" w:hAnsi="Times New Roman" w:cs="Times New Roman"/>
            <w:b/>
            <w:bCs/>
            <w:sz w:val="18"/>
            <w:szCs w:val="18"/>
          </w:rPr>
          <w:t xml:space="preserve"> | </w:t>
        </w:r>
        <w:r w:rsidR="00AA5B3C">
          <w:rPr>
            <w:rFonts w:ascii="Times New Roman" w:hAnsi="Times New Roman" w:cs="Times New Roman"/>
            <w:sz w:val="18"/>
            <w:szCs w:val="18"/>
          </w:rPr>
          <w:t>Page</w:t>
        </w:r>
        <w:r w:rsidR="00AA5B3C">
          <w:rPr>
            <w:rFonts w:ascii="Times New Roman" w:hAnsi="Times New Roman" w:cs="Times New Roman"/>
            <w:sz w:val="18"/>
            <w:szCs w:val="18"/>
          </w:rPr>
          <w:tab/>
        </w:r>
        <w:r w:rsidR="00AA5B3C">
          <w:rPr>
            <w:rFonts w:ascii="Times New Roman" w:hAnsi="Times New Roman" w:cs="Times New Roman"/>
            <w:sz w:val="18"/>
            <w:szCs w:val="18"/>
          </w:rPr>
          <w:tab/>
        </w:r>
        <w:proofErr w:type="gramStart"/>
        <w:r w:rsidR="00AA5B3C">
          <w:rPr>
            <w:rFonts w:ascii="Times New Roman" w:hAnsi="Times New Roman" w:cs="Times New Roman"/>
            <w:sz w:val="18"/>
            <w:szCs w:val="18"/>
          </w:rPr>
          <w:t>F</w:t>
        </w:r>
        <w:r w:rsidR="00AA6F9B" w:rsidRPr="00AA6F9B">
          <w:rPr>
            <w:rFonts w:ascii="Times New Roman" w:hAnsi="Times New Roman" w:cs="Times New Roman"/>
            <w:sz w:val="18"/>
            <w:szCs w:val="18"/>
          </w:rPr>
          <w:t>ully-Online</w:t>
        </w:r>
        <w:proofErr w:type="gramEnd"/>
        <w:r w:rsidR="00AA6F9B" w:rsidRPr="00AA6F9B">
          <w:rPr>
            <w:rFonts w:ascii="Times New Roman" w:hAnsi="Times New Roman" w:cs="Times New Roman"/>
            <w:sz w:val="18"/>
            <w:szCs w:val="18"/>
          </w:rPr>
          <w:t xml:space="preserve"> and Hybrid Online Undergraduate Programs - Tuition and Fee Model</w:t>
        </w:r>
        <w:r w:rsidR="00BF4233">
          <w:rPr>
            <w:rFonts w:ascii="Times New Roman" w:hAnsi="Times New Roman" w:cs="Times New Roman"/>
            <w:sz w:val="18"/>
            <w:szCs w:val="18"/>
          </w:rPr>
          <w:t xml:space="preserve"> </w:t>
        </w:r>
      </w:p>
    </w:sdtContent>
  </w:sdt>
  <w:p w14:paraId="5AF91942" w14:textId="77777777" w:rsidR="00CA406A" w:rsidRDefault="00CA4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6188" w14:textId="77777777" w:rsidR="009B1F28" w:rsidRDefault="009B1F28" w:rsidP="00CA406A">
      <w:r>
        <w:separator/>
      </w:r>
    </w:p>
  </w:footnote>
  <w:footnote w:type="continuationSeparator" w:id="0">
    <w:p w14:paraId="1671DC83" w14:textId="77777777" w:rsidR="009B1F28" w:rsidRDefault="009B1F28" w:rsidP="00CA406A">
      <w:r>
        <w:continuationSeparator/>
      </w:r>
    </w:p>
  </w:footnote>
  <w:footnote w:type="continuationNotice" w:id="1">
    <w:p w14:paraId="160CF18A" w14:textId="77777777" w:rsidR="009B1F28" w:rsidRDefault="009B1F2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JU0T2tyn78mLi" int2:id="sPpkzDIU">
      <int2:state int2:value="Rejected" int2:type="LegacyProofing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9EB"/>
    <w:multiLevelType w:val="hybridMultilevel"/>
    <w:tmpl w:val="482AD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1071"/>
    <w:multiLevelType w:val="hybridMultilevel"/>
    <w:tmpl w:val="0956A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E1826"/>
    <w:multiLevelType w:val="hybridMultilevel"/>
    <w:tmpl w:val="DA1AB9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8344F"/>
    <w:multiLevelType w:val="hybridMultilevel"/>
    <w:tmpl w:val="E1842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0048A4"/>
    <w:multiLevelType w:val="hybridMultilevel"/>
    <w:tmpl w:val="F25E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F222A"/>
    <w:multiLevelType w:val="hybridMultilevel"/>
    <w:tmpl w:val="98881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E60AE7"/>
    <w:multiLevelType w:val="hybridMultilevel"/>
    <w:tmpl w:val="0A966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556C18"/>
    <w:multiLevelType w:val="hybridMultilevel"/>
    <w:tmpl w:val="4EAA3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AC0563"/>
    <w:multiLevelType w:val="hybridMultilevel"/>
    <w:tmpl w:val="AE5CB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627DB"/>
    <w:multiLevelType w:val="hybridMultilevel"/>
    <w:tmpl w:val="8CAA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11356"/>
    <w:multiLevelType w:val="hybridMultilevel"/>
    <w:tmpl w:val="DA1AB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52C4A"/>
    <w:multiLevelType w:val="hybridMultilevel"/>
    <w:tmpl w:val="482ADB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C4463"/>
    <w:multiLevelType w:val="hybridMultilevel"/>
    <w:tmpl w:val="893E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C765B"/>
    <w:multiLevelType w:val="hybridMultilevel"/>
    <w:tmpl w:val="C310B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A27B2"/>
    <w:multiLevelType w:val="hybridMultilevel"/>
    <w:tmpl w:val="BEFE9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685301"/>
    <w:multiLevelType w:val="hybridMultilevel"/>
    <w:tmpl w:val="1FA8E0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072B7"/>
    <w:multiLevelType w:val="hybridMultilevel"/>
    <w:tmpl w:val="643E0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48187">
    <w:abstractNumId w:val="14"/>
  </w:num>
  <w:num w:numId="2" w16cid:durableId="14621886">
    <w:abstractNumId w:val="12"/>
  </w:num>
  <w:num w:numId="3" w16cid:durableId="107743404">
    <w:abstractNumId w:val="4"/>
  </w:num>
  <w:num w:numId="4" w16cid:durableId="2107384414">
    <w:abstractNumId w:val="4"/>
  </w:num>
  <w:num w:numId="5" w16cid:durableId="673537279">
    <w:abstractNumId w:val="10"/>
  </w:num>
  <w:num w:numId="6" w16cid:durableId="739786319">
    <w:abstractNumId w:val="2"/>
  </w:num>
  <w:num w:numId="7" w16cid:durableId="1994018607">
    <w:abstractNumId w:val="6"/>
  </w:num>
  <w:num w:numId="8" w16cid:durableId="792480591">
    <w:abstractNumId w:val="8"/>
  </w:num>
  <w:num w:numId="9" w16cid:durableId="1269048717">
    <w:abstractNumId w:val="5"/>
  </w:num>
  <w:num w:numId="10" w16cid:durableId="1402409454">
    <w:abstractNumId w:val="1"/>
  </w:num>
  <w:num w:numId="11" w16cid:durableId="1723366356">
    <w:abstractNumId w:val="0"/>
  </w:num>
  <w:num w:numId="12" w16cid:durableId="1782144252">
    <w:abstractNumId w:val="16"/>
  </w:num>
  <w:num w:numId="13" w16cid:durableId="1191719422">
    <w:abstractNumId w:val="13"/>
  </w:num>
  <w:num w:numId="14" w16cid:durableId="547451283">
    <w:abstractNumId w:val="9"/>
  </w:num>
  <w:num w:numId="15" w16cid:durableId="419453826">
    <w:abstractNumId w:val="3"/>
  </w:num>
  <w:num w:numId="16" w16cid:durableId="1093013986">
    <w:abstractNumId w:val="7"/>
  </w:num>
  <w:num w:numId="17" w16cid:durableId="86773487">
    <w:abstractNumId w:val="15"/>
  </w:num>
  <w:num w:numId="18" w16cid:durableId="14205594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47"/>
    <w:rsid w:val="00011D2A"/>
    <w:rsid w:val="000148D9"/>
    <w:rsid w:val="00020011"/>
    <w:rsid w:val="00022BE7"/>
    <w:rsid w:val="00024507"/>
    <w:rsid w:val="000315A2"/>
    <w:rsid w:val="000429C0"/>
    <w:rsid w:val="00050B8A"/>
    <w:rsid w:val="00055D7B"/>
    <w:rsid w:val="00070D1A"/>
    <w:rsid w:val="00072D45"/>
    <w:rsid w:val="00074DE9"/>
    <w:rsid w:val="00075806"/>
    <w:rsid w:val="00077917"/>
    <w:rsid w:val="00077FB9"/>
    <w:rsid w:val="00080124"/>
    <w:rsid w:val="00080394"/>
    <w:rsid w:val="00086D9D"/>
    <w:rsid w:val="00093358"/>
    <w:rsid w:val="000A45A4"/>
    <w:rsid w:val="000A608B"/>
    <w:rsid w:val="000B1585"/>
    <w:rsid w:val="000B4C0A"/>
    <w:rsid w:val="000B5661"/>
    <w:rsid w:val="000B6ABA"/>
    <w:rsid w:val="000D500E"/>
    <w:rsid w:val="000D5DDF"/>
    <w:rsid w:val="000D7535"/>
    <w:rsid w:val="000D76A4"/>
    <w:rsid w:val="000E0842"/>
    <w:rsid w:val="000E18EA"/>
    <w:rsid w:val="000E2435"/>
    <w:rsid w:val="000E2523"/>
    <w:rsid w:val="000E4182"/>
    <w:rsid w:val="000E48E3"/>
    <w:rsid w:val="000F117C"/>
    <w:rsid w:val="000F40B0"/>
    <w:rsid w:val="000F78A5"/>
    <w:rsid w:val="000F7B98"/>
    <w:rsid w:val="001041A1"/>
    <w:rsid w:val="001101F2"/>
    <w:rsid w:val="0011158F"/>
    <w:rsid w:val="001214B6"/>
    <w:rsid w:val="00126B97"/>
    <w:rsid w:val="001353C7"/>
    <w:rsid w:val="00143064"/>
    <w:rsid w:val="00145319"/>
    <w:rsid w:val="001541AA"/>
    <w:rsid w:val="00154AA5"/>
    <w:rsid w:val="0016387B"/>
    <w:rsid w:val="001647FA"/>
    <w:rsid w:val="001721BA"/>
    <w:rsid w:val="00172F78"/>
    <w:rsid w:val="00174261"/>
    <w:rsid w:val="0017781F"/>
    <w:rsid w:val="001806FF"/>
    <w:rsid w:val="00183CF4"/>
    <w:rsid w:val="00187F13"/>
    <w:rsid w:val="001A4B24"/>
    <w:rsid w:val="001B1998"/>
    <w:rsid w:val="001C233C"/>
    <w:rsid w:val="001D10EF"/>
    <w:rsid w:val="001D35A6"/>
    <w:rsid w:val="001D45DB"/>
    <w:rsid w:val="001D71FE"/>
    <w:rsid w:val="001E2A71"/>
    <w:rsid w:val="001F4278"/>
    <w:rsid w:val="001F4B47"/>
    <w:rsid w:val="001F5BFE"/>
    <w:rsid w:val="001F63FC"/>
    <w:rsid w:val="001F6A4B"/>
    <w:rsid w:val="00202679"/>
    <w:rsid w:val="0021460C"/>
    <w:rsid w:val="00225C7F"/>
    <w:rsid w:val="002270CA"/>
    <w:rsid w:val="002273EF"/>
    <w:rsid w:val="00234885"/>
    <w:rsid w:val="00235CE6"/>
    <w:rsid w:val="00251A7A"/>
    <w:rsid w:val="002542FC"/>
    <w:rsid w:val="00260479"/>
    <w:rsid w:val="00260D46"/>
    <w:rsid w:val="00274FFC"/>
    <w:rsid w:val="00280B07"/>
    <w:rsid w:val="00285555"/>
    <w:rsid w:val="00286BF4"/>
    <w:rsid w:val="00287A54"/>
    <w:rsid w:val="00296397"/>
    <w:rsid w:val="002A2504"/>
    <w:rsid w:val="002B4B60"/>
    <w:rsid w:val="002B5122"/>
    <w:rsid w:val="002B68CF"/>
    <w:rsid w:val="002C6624"/>
    <w:rsid w:val="002C780E"/>
    <w:rsid w:val="002D26CD"/>
    <w:rsid w:val="002D3484"/>
    <w:rsid w:val="002D506D"/>
    <w:rsid w:val="002E1C87"/>
    <w:rsid w:val="002E2DF0"/>
    <w:rsid w:val="002E31C2"/>
    <w:rsid w:val="002E73FB"/>
    <w:rsid w:val="002F3C4C"/>
    <w:rsid w:val="003004A0"/>
    <w:rsid w:val="003045B6"/>
    <w:rsid w:val="003100E9"/>
    <w:rsid w:val="00312037"/>
    <w:rsid w:val="00312A9C"/>
    <w:rsid w:val="003146B2"/>
    <w:rsid w:val="00315840"/>
    <w:rsid w:val="00316606"/>
    <w:rsid w:val="00321A72"/>
    <w:rsid w:val="00324866"/>
    <w:rsid w:val="00324C05"/>
    <w:rsid w:val="00330AF5"/>
    <w:rsid w:val="003320E4"/>
    <w:rsid w:val="003373C6"/>
    <w:rsid w:val="00341041"/>
    <w:rsid w:val="00345952"/>
    <w:rsid w:val="003546AD"/>
    <w:rsid w:val="00363C43"/>
    <w:rsid w:val="00364B21"/>
    <w:rsid w:val="00375076"/>
    <w:rsid w:val="00376D66"/>
    <w:rsid w:val="00381E74"/>
    <w:rsid w:val="00382032"/>
    <w:rsid w:val="0038325B"/>
    <w:rsid w:val="003936D3"/>
    <w:rsid w:val="003A2CA2"/>
    <w:rsid w:val="003A4826"/>
    <w:rsid w:val="003A6DFA"/>
    <w:rsid w:val="003C2312"/>
    <w:rsid w:val="003C8209"/>
    <w:rsid w:val="003D4C4E"/>
    <w:rsid w:val="003D5F7B"/>
    <w:rsid w:val="003E4B78"/>
    <w:rsid w:val="003E60C7"/>
    <w:rsid w:val="003E7A2B"/>
    <w:rsid w:val="003F3615"/>
    <w:rsid w:val="00412EAD"/>
    <w:rsid w:val="004204D5"/>
    <w:rsid w:val="00425CE5"/>
    <w:rsid w:val="00436A52"/>
    <w:rsid w:val="004558E0"/>
    <w:rsid w:val="004640F6"/>
    <w:rsid w:val="0047187E"/>
    <w:rsid w:val="00474027"/>
    <w:rsid w:val="00493CBF"/>
    <w:rsid w:val="00496208"/>
    <w:rsid w:val="004A3E9A"/>
    <w:rsid w:val="004B3BF8"/>
    <w:rsid w:val="004B65D5"/>
    <w:rsid w:val="004B77EB"/>
    <w:rsid w:val="004C09D8"/>
    <w:rsid w:val="004C3C29"/>
    <w:rsid w:val="004C48E5"/>
    <w:rsid w:val="004D6C20"/>
    <w:rsid w:val="004E0A10"/>
    <w:rsid w:val="004E5983"/>
    <w:rsid w:val="004E6F0F"/>
    <w:rsid w:val="004E78DC"/>
    <w:rsid w:val="004F3C9C"/>
    <w:rsid w:val="00521903"/>
    <w:rsid w:val="005264BE"/>
    <w:rsid w:val="005329E3"/>
    <w:rsid w:val="00533A9D"/>
    <w:rsid w:val="0053550C"/>
    <w:rsid w:val="00537D9D"/>
    <w:rsid w:val="005462A4"/>
    <w:rsid w:val="00556E62"/>
    <w:rsid w:val="00563FEB"/>
    <w:rsid w:val="00571E92"/>
    <w:rsid w:val="0058563A"/>
    <w:rsid w:val="00591816"/>
    <w:rsid w:val="00591B14"/>
    <w:rsid w:val="00594444"/>
    <w:rsid w:val="00595E7B"/>
    <w:rsid w:val="005A62C8"/>
    <w:rsid w:val="005A63DA"/>
    <w:rsid w:val="005B4434"/>
    <w:rsid w:val="005B6583"/>
    <w:rsid w:val="005B72AC"/>
    <w:rsid w:val="005C53A2"/>
    <w:rsid w:val="005D7B30"/>
    <w:rsid w:val="005E08DF"/>
    <w:rsid w:val="005E2BFC"/>
    <w:rsid w:val="005E2C59"/>
    <w:rsid w:val="005E526A"/>
    <w:rsid w:val="005F4CE9"/>
    <w:rsid w:val="006010A8"/>
    <w:rsid w:val="00621AAC"/>
    <w:rsid w:val="00622F4B"/>
    <w:rsid w:val="00661208"/>
    <w:rsid w:val="00665E08"/>
    <w:rsid w:val="006735B8"/>
    <w:rsid w:val="00673D79"/>
    <w:rsid w:val="00677227"/>
    <w:rsid w:val="00677EC6"/>
    <w:rsid w:val="00686EBF"/>
    <w:rsid w:val="00692C75"/>
    <w:rsid w:val="006A4276"/>
    <w:rsid w:val="006A4615"/>
    <w:rsid w:val="006A6152"/>
    <w:rsid w:val="006A70D2"/>
    <w:rsid w:val="006B2EB4"/>
    <w:rsid w:val="006B5A4D"/>
    <w:rsid w:val="006B5CCA"/>
    <w:rsid w:val="006C26D2"/>
    <w:rsid w:val="006C72C6"/>
    <w:rsid w:val="006D2DE4"/>
    <w:rsid w:val="006D4558"/>
    <w:rsid w:val="006D5728"/>
    <w:rsid w:val="006E00B4"/>
    <w:rsid w:val="006E23DB"/>
    <w:rsid w:val="006E46D7"/>
    <w:rsid w:val="006E4F29"/>
    <w:rsid w:val="006E60FF"/>
    <w:rsid w:val="006F0016"/>
    <w:rsid w:val="006F03E6"/>
    <w:rsid w:val="006F213F"/>
    <w:rsid w:val="006F226F"/>
    <w:rsid w:val="006F3D62"/>
    <w:rsid w:val="006F4C71"/>
    <w:rsid w:val="006F72A6"/>
    <w:rsid w:val="00707207"/>
    <w:rsid w:val="00712963"/>
    <w:rsid w:val="00714ECF"/>
    <w:rsid w:val="00715176"/>
    <w:rsid w:val="00722DE5"/>
    <w:rsid w:val="0072348B"/>
    <w:rsid w:val="0072664C"/>
    <w:rsid w:val="00732439"/>
    <w:rsid w:val="00747552"/>
    <w:rsid w:val="00750766"/>
    <w:rsid w:val="00761C5D"/>
    <w:rsid w:val="007844A2"/>
    <w:rsid w:val="00792CF2"/>
    <w:rsid w:val="007A24B3"/>
    <w:rsid w:val="007B30A4"/>
    <w:rsid w:val="007B39D9"/>
    <w:rsid w:val="007C76A4"/>
    <w:rsid w:val="007D0161"/>
    <w:rsid w:val="007D0F19"/>
    <w:rsid w:val="007D2166"/>
    <w:rsid w:val="007D49DE"/>
    <w:rsid w:val="007D64E7"/>
    <w:rsid w:val="007D6C39"/>
    <w:rsid w:val="007D6E0B"/>
    <w:rsid w:val="007E03E5"/>
    <w:rsid w:val="007E3C7F"/>
    <w:rsid w:val="00810466"/>
    <w:rsid w:val="00810B7A"/>
    <w:rsid w:val="00820140"/>
    <w:rsid w:val="008239F5"/>
    <w:rsid w:val="00825BC5"/>
    <w:rsid w:val="00833716"/>
    <w:rsid w:val="00840368"/>
    <w:rsid w:val="008440E2"/>
    <w:rsid w:val="008575FF"/>
    <w:rsid w:val="00870B9D"/>
    <w:rsid w:val="00876DFB"/>
    <w:rsid w:val="00885A18"/>
    <w:rsid w:val="00891BCF"/>
    <w:rsid w:val="008938D3"/>
    <w:rsid w:val="008A06E7"/>
    <w:rsid w:val="008A3E28"/>
    <w:rsid w:val="008A7E88"/>
    <w:rsid w:val="008B76AB"/>
    <w:rsid w:val="008D16CF"/>
    <w:rsid w:val="008D6062"/>
    <w:rsid w:val="008E7D83"/>
    <w:rsid w:val="0090094D"/>
    <w:rsid w:val="00901FD6"/>
    <w:rsid w:val="0091422A"/>
    <w:rsid w:val="00917632"/>
    <w:rsid w:val="00941882"/>
    <w:rsid w:val="00944577"/>
    <w:rsid w:val="00957FBF"/>
    <w:rsid w:val="009612CF"/>
    <w:rsid w:val="00967454"/>
    <w:rsid w:val="00967619"/>
    <w:rsid w:val="0096770A"/>
    <w:rsid w:val="009704F8"/>
    <w:rsid w:val="0097152F"/>
    <w:rsid w:val="00975874"/>
    <w:rsid w:val="00976155"/>
    <w:rsid w:val="009913E5"/>
    <w:rsid w:val="00992A7D"/>
    <w:rsid w:val="009A2C83"/>
    <w:rsid w:val="009A3866"/>
    <w:rsid w:val="009A47C9"/>
    <w:rsid w:val="009B1D2E"/>
    <w:rsid w:val="009B1F28"/>
    <w:rsid w:val="009C00EA"/>
    <w:rsid w:val="009C4A29"/>
    <w:rsid w:val="009C776C"/>
    <w:rsid w:val="009C7898"/>
    <w:rsid w:val="009D3DBB"/>
    <w:rsid w:val="009D587C"/>
    <w:rsid w:val="009E56E8"/>
    <w:rsid w:val="009E6AAE"/>
    <w:rsid w:val="009F5CB0"/>
    <w:rsid w:val="009F65AF"/>
    <w:rsid w:val="009F7B1A"/>
    <w:rsid w:val="00A00CC3"/>
    <w:rsid w:val="00A010AD"/>
    <w:rsid w:val="00A142B6"/>
    <w:rsid w:val="00A17161"/>
    <w:rsid w:val="00A22B5E"/>
    <w:rsid w:val="00A25305"/>
    <w:rsid w:val="00A25570"/>
    <w:rsid w:val="00A3573D"/>
    <w:rsid w:val="00A3692D"/>
    <w:rsid w:val="00A41F3F"/>
    <w:rsid w:val="00A439A9"/>
    <w:rsid w:val="00A4611B"/>
    <w:rsid w:val="00A644E4"/>
    <w:rsid w:val="00A65345"/>
    <w:rsid w:val="00A661E1"/>
    <w:rsid w:val="00A70DC1"/>
    <w:rsid w:val="00A755A3"/>
    <w:rsid w:val="00A82D6E"/>
    <w:rsid w:val="00A876C0"/>
    <w:rsid w:val="00A94F80"/>
    <w:rsid w:val="00A955B6"/>
    <w:rsid w:val="00A969A6"/>
    <w:rsid w:val="00AA3F06"/>
    <w:rsid w:val="00AA5B3C"/>
    <w:rsid w:val="00AA6F9B"/>
    <w:rsid w:val="00AB31D1"/>
    <w:rsid w:val="00AC0019"/>
    <w:rsid w:val="00AC1065"/>
    <w:rsid w:val="00AC3AD2"/>
    <w:rsid w:val="00AD62DA"/>
    <w:rsid w:val="00AD6BE9"/>
    <w:rsid w:val="00AE02ED"/>
    <w:rsid w:val="00AE064F"/>
    <w:rsid w:val="00AE7466"/>
    <w:rsid w:val="00AF4FFB"/>
    <w:rsid w:val="00B00CD8"/>
    <w:rsid w:val="00B136D3"/>
    <w:rsid w:val="00B15CE3"/>
    <w:rsid w:val="00B26658"/>
    <w:rsid w:val="00B3011F"/>
    <w:rsid w:val="00B32525"/>
    <w:rsid w:val="00B33066"/>
    <w:rsid w:val="00B3506D"/>
    <w:rsid w:val="00B362FE"/>
    <w:rsid w:val="00B506CD"/>
    <w:rsid w:val="00B55F68"/>
    <w:rsid w:val="00B60C03"/>
    <w:rsid w:val="00B63C3E"/>
    <w:rsid w:val="00B83357"/>
    <w:rsid w:val="00B9125B"/>
    <w:rsid w:val="00B95127"/>
    <w:rsid w:val="00B95F68"/>
    <w:rsid w:val="00BA5B7F"/>
    <w:rsid w:val="00BB7373"/>
    <w:rsid w:val="00BB7376"/>
    <w:rsid w:val="00BC351E"/>
    <w:rsid w:val="00BC5967"/>
    <w:rsid w:val="00BC78BB"/>
    <w:rsid w:val="00BD6B37"/>
    <w:rsid w:val="00BE0D3F"/>
    <w:rsid w:val="00BE3C43"/>
    <w:rsid w:val="00BE6EFD"/>
    <w:rsid w:val="00BF0770"/>
    <w:rsid w:val="00BF1220"/>
    <w:rsid w:val="00BF4233"/>
    <w:rsid w:val="00BF4936"/>
    <w:rsid w:val="00BF4EE2"/>
    <w:rsid w:val="00C03E79"/>
    <w:rsid w:val="00C04FF9"/>
    <w:rsid w:val="00C100D1"/>
    <w:rsid w:val="00C254EA"/>
    <w:rsid w:val="00C46D2E"/>
    <w:rsid w:val="00C51873"/>
    <w:rsid w:val="00C51D02"/>
    <w:rsid w:val="00C54910"/>
    <w:rsid w:val="00C57F54"/>
    <w:rsid w:val="00C608EB"/>
    <w:rsid w:val="00C71D43"/>
    <w:rsid w:val="00C72CBB"/>
    <w:rsid w:val="00C947ED"/>
    <w:rsid w:val="00CA00C5"/>
    <w:rsid w:val="00CA09E3"/>
    <w:rsid w:val="00CA406A"/>
    <w:rsid w:val="00CA719B"/>
    <w:rsid w:val="00CB2989"/>
    <w:rsid w:val="00CC0430"/>
    <w:rsid w:val="00CC55A8"/>
    <w:rsid w:val="00CC6F8A"/>
    <w:rsid w:val="00CD4031"/>
    <w:rsid w:val="00CE3984"/>
    <w:rsid w:val="00CE59D3"/>
    <w:rsid w:val="00CF198D"/>
    <w:rsid w:val="00CF7613"/>
    <w:rsid w:val="00D15FAE"/>
    <w:rsid w:val="00D16F30"/>
    <w:rsid w:val="00D277C9"/>
    <w:rsid w:val="00D27B18"/>
    <w:rsid w:val="00D37387"/>
    <w:rsid w:val="00D41994"/>
    <w:rsid w:val="00D62DBD"/>
    <w:rsid w:val="00D63222"/>
    <w:rsid w:val="00D659FB"/>
    <w:rsid w:val="00D70DC6"/>
    <w:rsid w:val="00D728AA"/>
    <w:rsid w:val="00D7547F"/>
    <w:rsid w:val="00D94136"/>
    <w:rsid w:val="00D94EFC"/>
    <w:rsid w:val="00DA421A"/>
    <w:rsid w:val="00DA425A"/>
    <w:rsid w:val="00DB0913"/>
    <w:rsid w:val="00DC0938"/>
    <w:rsid w:val="00DC5C81"/>
    <w:rsid w:val="00DD43CE"/>
    <w:rsid w:val="00DE0072"/>
    <w:rsid w:val="00DE3C63"/>
    <w:rsid w:val="00DE58A9"/>
    <w:rsid w:val="00DE701B"/>
    <w:rsid w:val="00DE7306"/>
    <w:rsid w:val="00DF0E60"/>
    <w:rsid w:val="00DF181E"/>
    <w:rsid w:val="00DF5697"/>
    <w:rsid w:val="00DF764F"/>
    <w:rsid w:val="00E13CBD"/>
    <w:rsid w:val="00E212F8"/>
    <w:rsid w:val="00E2620D"/>
    <w:rsid w:val="00E34247"/>
    <w:rsid w:val="00E4106C"/>
    <w:rsid w:val="00E453C7"/>
    <w:rsid w:val="00E52552"/>
    <w:rsid w:val="00E53DD8"/>
    <w:rsid w:val="00E55FD9"/>
    <w:rsid w:val="00E56CA0"/>
    <w:rsid w:val="00E6618C"/>
    <w:rsid w:val="00E662DC"/>
    <w:rsid w:val="00E76A9C"/>
    <w:rsid w:val="00E82F80"/>
    <w:rsid w:val="00E84647"/>
    <w:rsid w:val="00E90FBC"/>
    <w:rsid w:val="00E91D4B"/>
    <w:rsid w:val="00E92EFE"/>
    <w:rsid w:val="00E968BE"/>
    <w:rsid w:val="00EA1D52"/>
    <w:rsid w:val="00EA2FA2"/>
    <w:rsid w:val="00EA6DEA"/>
    <w:rsid w:val="00EA765F"/>
    <w:rsid w:val="00EA7E35"/>
    <w:rsid w:val="00EB2725"/>
    <w:rsid w:val="00EB3C6F"/>
    <w:rsid w:val="00EC1825"/>
    <w:rsid w:val="00EC6639"/>
    <w:rsid w:val="00EC74FE"/>
    <w:rsid w:val="00ED4165"/>
    <w:rsid w:val="00ED47CE"/>
    <w:rsid w:val="00EF12C0"/>
    <w:rsid w:val="00EF51DB"/>
    <w:rsid w:val="00EF56DB"/>
    <w:rsid w:val="00F00F6E"/>
    <w:rsid w:val="00F011CF"/>
    <w:rsid w:val="00F06243"/>
    <w:rsid w:val="00F13462"/>
    <w:rsid w:val="00F22727"/>
    <w:rsid w:val="00F230C2"/>
    <w:rsid w:val="00F264B2"/>
    <w:rsid w:val="00F30D79"/>
    <w:rsid w:val="00F3426D"/>
    <w:rsid w:val="00F37B16"/>
    <w:rsid w:val="00F43DE6"/>
    <w:rsid w:val="00F4797E"/>
    <w:rsid w:val="00F54ACF"/>
    <w:rsid w:val="00F553C8"/>
    <w:rsid w:val="00F56397"/>
    <w:rsid w:val="00F62A8B"/>
    <w:rsid w:val="00F76152"/>
    <w:rsid w:val="00F767FE"/>
    <w:rsid w:val="00F81906"/>
    <w:rsid w:val="00F90236"/>
    <w:rsid w:val="00F941AB"/>
    <w:rsid w:val="00F944B6"/>
    <w:rsid w:val="00FB153A"/>
    <w:rsid w:val="00FB3613"/>
    <w:rsid w:val="00FB3E20"/>
    <w:rsid w:val="00FB41D4"/>
    <w:rsid w:val="00FB4FD6"/>
    <w:rsid w:val="00FC2C7C"/>
    <w:rsid w:val="00FE253D"/>
    <w:rsid w:val="00FE2827"/>
    <w:rsid w:val="00FF0DCE"/>
    <w:rsid w:val="00FF14B5"/>
    <w:rsid w:val="00FF7450"/>
    <w:rsid w:val="0AF0C26E"/>
    <w:rsid w:val="0B5150C4"/>
    <w:rsid w:val="0D11DC9D"/>
    <w:rsid w:val="0EC78C34"/>
    <w:rsid w:val="156F51E5"/>
    <w:rsid w:val="17F4D348"/>
    <w:rsid w:val="1841F245"/>
    <w:rsid w:val="46AECBCA"/>
    <w:rsid w:val="54ADA24E"/>
    <w:rsid w:val="5E8C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4B053"/>
  <w15:chartTrackingRefBased/>
  <w15:docId w15:val="{026210C0-67CE-4E0A-9817-DF2A35C3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4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247"/>
    <w:pPr>
      <w:spacing w:after="160" w:line="252" w:lineRule="auto"/>
      <w:ind w:left="720"/>
      <w:contextualSpacing/>
    </w:pPr>
  </w:style>
  <w:style w:type="character" w:styleId="SmartLink">
    <w:name w:val="Smart Link"/>
    <w:basedOn w:val="DefaultParagraphFont"/>
    <w:uiPriority w:val="99"/>
    <w:semiHidden/>
    <w:unhideWhenUsed/>
    <w:rsid w:val="00E34247"/>
    <w:rPr>
      <w:color w:val="0000FF"/>
      <w:u w:val="single"/>
      <w:shd w:val="clear" w:color="auto" w:fill="F3F2F1"/>
    </w:rPr>
  </w:style>
  <w:style w:type="table" w:styleId="TableGrid">
    <w:name w:val="Table Grid"/>
    <w:basedOn w:val="TableNormal"/>
    <w:uiPriority w:val="39"/>
    <w:rsid w:val="006F2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40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06A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40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06A"/>
    <w:rPr>
      <w:rFonts w:ascii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D5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0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06D"/>
    <w:rPr>
      <w:rFonts w:ascii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06D"/>
    <w:rPr>
      <w:rFonts w:ascii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21431D932A34CA846DEF247DAA702" ma:contentTypeVersion="4" ma:contentTypeDescription="Create a new document." ma:contentTypeScope="" ma:versionID="c9f98647ce787d3d84c88e59e3b3c286">
  <xsd:schema xmlns:xsd="http://www.w3.org/2001/XMLSchema" xmlns:xs="http://www.w3.org/2001/XMLSchema" xmlns:p="http://schemas.microsoft.com/office/2006/metadata/properties" xmlns:ns2="6d0b118c-7396-4ff8-ab4f-8c5664d7b857" xmlns:ns3="55e733cd-019a-4d7d-801e-665245c38806" targetNamespace="http://schemas.microsoft.com/office/2006/metadata/properties" ma:root="true" ma:fieldsID="561ceec76662af68e797bf974f232ac9" ns2:_="" ns3:_="">
    <xsd:import namespace="6d0b118c-7396-4ff8-ab4f-8c5664d7b857"/>
    <xsd:import namespace="55e733cd-019a-4d7d-801e-665245c38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118c-7396-4ff8-ab4f-8c5664d7b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733cd-019a-4d7d-801e-665245c38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5FA5EB-5EBB-4171-B63D-E54623FB3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b118c-7396-4ff8-ab4f-8c5664d7b857"/>
    <ds:schemaRef ds:uri="55e733cd-019a-4d7d-801e-665245c38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FF99B1-9F4D-4E8B-86B0-D0CFB287A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B0660-ADD5-4DAB-9622-D691A00D98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974968-587F-4B2B-A1BF-E89823BDFBA6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6d0b118c-7396-4ff8-ab4f-8c5664d7b857"/>
    <ds:schemaRef ds:uri="http://purl.org/dc/dcmitype/"/>
    <ds:schemaRef ds:uri="http://purl.org/dc/terms/"/>
    <ds:schemaRef ds:uri="55e733cd-019a-4d7d-801e-665245c38806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Griswold</dc:creator>
  <cp:keywords/>
  <dc:description/>
  <cp:lastModifiedBy>Matt Griswold</cp:lastModifiedBy>
  <cp:revision>2</cp:revision>
  <dcterms:created xsi:type="dcterms:W3CDTF">2023-04-20T14:01:00Z</dcterms:created>
  <dcterms:modified xsi:type="dcterms:W3CDTF">2023-04-20T14:01:00Z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0x010100FEA21431D932A34CA846DEF247DAA702</vt:lpwstr>
  </property>
</Properties>
</file>