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795"/>
        <w:tblW w:w="12325" w:type="dxa"/>
        <w:tblBorders>
          <w:left w:val="none" w:sz="0" w:space="0" w:color="auto"/>
          <w:bottom w:val="none" w:sz="0" w:space="0" w:color="auto"/>
          <w:right w:val="none" w:sz="0" w:space="0" w:color="auto"/>
          <w:insideH w:val="none" w:sz="0" w:space="0" w:color="auto"/>
          <w:insideV w:val="none" w:sz="0" w:space="0" w:color="auto"/>
        </w:tblBorders>
        <w:tblCellMar>
          <w:top w:w="58" w:type="dxa"/>
          <w:left w:w="216" w:type="dxa"/>
          <w:right w:w="288" w:type="dxa"/>
        </w:tblCellMar>
        <w:tblLook w:val="04A0" w:firstRow="1" w:lastRow="0" w:firstColumn="1" w:lastColumn="0" w:noHBand="0" w:noVBand="1"/>
      </w:tblPr>
      <w:tblGrid>
        <w:gridCol w:w="12325"/>
      </w:tblGrid>
      <w:tr w:rsidR="00FB4C0C" w14:paraId="136340F4" w14:textId="77777777" w:rsidTr="008835E9">
        <w:trPr>
          <w:trHeight w:val="7055"/>
        </w:trPr>
        <w:tc>
          <w:tcPr>
            <w:tcW w:w="12325" w:type="dxa"/>
            <w:tcBorders>
              <w:top w:val="nil"/>
              <w:bottom w:val="single" w:sz="8" w:space="0" w:color="00703C"/>
            </w:tcBorders>
            <w:vAlign w:val="center"/>
          </w:tcPr>
          <w:tbl>
            <w:tblPr>
              <w:tblStyle w:val="GridTable1Light"/>
              <w:tblpPr w:leftFromText="180" w:rightFromText="180" w:vertAnchor="text" w:horzAnchor="margin" w:tblpXSpec="center" w:tblpY="50"/>
              <w:tblOverlap w:val="never"/>
              <w:tblW w:w="4235" w:type="pct"/>
              <w:tblInd w:w="0" w:type="dxa"/>
              <w:tblLook w:val="04A0" w:firstRow="1" w:lastRow="0" w:firstColumn="1" w:lastColumn="0" w:noHBand="0" w:noVBand="1"/>
            </w:tblPr>
            <w:tblGrid>
              <w:gridCol w:w="439"/>
              <w:gridCol w:w="795"/>
              <w:gridCol w:w="2206"/>
              <w:gridCol w:w="997"/>
              <w:gridCol w:w="995"/>
              <w:gridCol w:w="1072"/>
              <w:gridCol w:w="942"/>
              <w:gridCol w:w="942"/>
              <w:gridCol w:w="808"/>
              <w:gridCol w:w="808"/>
            </w:tblGrid>
            <w:tr w:rsidR="00F92D96" w14:paraId="6EAEA4CD" w14:textId="77777777" w:rsidTr="00624D6C">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19" w:type="pct"/>
                  <w:tcBorders>
                    <w:top w:val="single" w:sz="4" w:space="0" w:color="999999" w:themeColor="text1" w:themeTint="66"/>
                    <w:left w:val="single" w:sz="4" w:space="0" w:color="999999" w:themeColor="text1" w:themeTint="66"/>
                    <w:right w:val="single" w:sz="4" w:space="0" w:color="999999" w:themeColor="text1" w:themeTint="66"/>
                  </w:tcBorders>
                </w:tcPr>
                <w:p w14:paraId="28746F0B" w14:textId="77777777" w:rsidR="00C923D4" w:rsidRDefault="00C923D4" w:rsidP="00C923D4">
                  <w:pPr>
                    <w:jc w:val="center"/>
                    <w:rPr>
                      <w:rFonts w:ascii="Arial" w:hAnsi="Arial" w:cs="Arial"/>
                      <w:b w:val="0"/>
                      <w:bCs w:val="0"/>
                      <w:sz w:val="16"/>
                      <w:szCs w:val="16"/>
                      <w:u w:val="single"/>
                    </w:rPr>
                  </w:pPr>
                  <w:bookmarkStart w:id="0" w:name="_GoBack"/>
                  <w:bookmarkEnd w:id="0"/>
                </w:p>
              </w:tc>
              <w:tc>
                <w:tcPr>
                  <w:tcW w:w="397" w:type="pct"/>
                  <w:tcBorders>
                    <w:top w:val="single" w:sz="4" w:space="0" w:color="999999" w:themeColor="text1" w:themeTint="66"/>
                    <w:left w:val="single" w:sz="4" w:space="0" w:color="999999" w:themeColor="text1" w:themeTint="66"/>
                    <w:right w:val="single" w:sz="4" w:space="0" w:color="999999" w:themeColor="text1" w:themeTint="66"/>
                  </w:tcBorders>
                  <w:hideMark/>
                </w:tcPr>
                <w:p w14:paraId="15D4B58B" w14:textId="77777777" w:rsidR="00C923D4" w:rsidRPr="00EC571F" w:rsidRDefault="00C923D4" w:rsidP="00C923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EC571F">
                    <w:rPr>
                      <w:rFonts w:ascii="Arial" w:hAnsi="Arial" w:cs="Arial"/>
                      <w:sz w:val="16"/>
                      <w:szCs w:val="16"/>
                      <w:u w:val="single"/>
                    </w:rPr>
                    <w:t>SIPP Code</w:t>
                  </w:r>
                </w:p>
              </w:tc>
              <w:tc>
                <w:tcPr>
                  <w:tcW w:w="1102" w:type="pct"/>
                  <w:tcBorders>
                    <w:top w:val="single" w:sz="4" w:space="0" w:color="999999" w:themeColor="text1" w:themeTint="66"/>
                    <w:left w:val="single" w:sz="4" w:space="0" w:color="999999" w:themeColor="text1" w:themeTint="66"/>
                    <w:right w:val="single" w:sz="4" w:space="0" w:color="999999" w:themeColor="text1" w:themeTint="66"/>
                  </w:tcBorders>
                  <w:hideMark/>
                </w:tcPr>
                <w:p w14:paraId="1C4556FC" w14:textId="77777777" w:rsidR="00C923D4" w:rsidRPr="00EC571F" w:rsidRDefault="00C923D4" w:rsidP="00C923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EC571F">
                    <w:rPr>
                      <w:rFonts w:ascii="Arial" w:hAnsi="Arial" w:cs="Arial"/>
                      <w:sz w:val="16"/>
                      <w:szCs w:val="16"/>
                      <w:u w:val="single"/>
                    </w:rPr>
                    <w:t>Vehicle Class</w:t>
                  </w:r>
                </w:p>
              </w:tc>
              <w:tc>
                <w:tcPr>
                  <w:tcW w:w="498" w:type="pct"/>
                  <w:tcBorders>
                    <w:top w:val="single" w:sz="4" w:space="0" w:color="999999" w:themeColor="text1" w:themeTint="66"/>
                    <w:left w:val="single" w:sz="4" w:space="0" w:color="999999" w:themeColor="text1" w:themeTint="66"/>
                    <w:right w:val="single" w:sz="4" w:space="0" w:color="999999" w:themeColor="text1" w:themeTint="66"/>
                  </w:tcBorders>
                  <w:hideMark/>
                </w:tcPr>
                <w:p w14:paraId="2B26D1F2" w14:textId="77777777" w:rsidR="00C923D4" w:rsidRPr="00EC571F" w:rsidRDefault="00C923D4" w:rsidP="00C923D4">
                  <w:pPr>
                    <w:tabs>
                      <w:tab w:val="left" w:pos="-720"/>
                      <w:tab w:val="left" w:pos="0"/>
                    </w:tabs>
                    <w:suppressAutoHyphens/>
                    <w:ind w:left="-144" w:right="-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u w:val="single"/>
                    </w:rPr>
                  </w:pPr>
                  <w:r w:rsidRPr="00EC571F">
                    <w:rPr>
                      <w:rFonts w:ascii="Arial" w:hAnsi="Arial" w:cs="Arial"/>
                      <w:sz w:val="16"/>
                      <w:szCs w:val="16"/>
                      <w:u w:val="single"/>
                    </w:rPr>
                    <w:t xml:space="preserve">Daily </w:t>
                  </w:r>
                </w:p>
                <w:p w14:paraId="0B5106EF" w14:textId="77777777" w:rsidR="00C923D4" w:rsidRPr="00EC571F" w:rsidRDefault="00C923D4" w:rsidP="00C923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EC571F">
                    <w:rPr>
                      <w:rFonts w:ascii="Arial" w:hAnsi="Arial" w:cs="Arial"/>
                      <w:sz w:val="16"/>
                      <w:szCs w:val="16"/>
                      <w:u w:val="single"/>
                    </w:rPr>
                    <w:t>Rates</w:t>
                  </w:r>
                </w:p>
              </w:tc>
              <w:tc>
                <w:tcPr>
                  <w:tcW w:w="497" w:type="pct"/>
                  <w:tcBorders>
                    <w:top w:val="single" w:sz="4" w:space="0" w:color="999999" w:themeColor="text1" w:themeTint="66"/>
                    <w:left w:val="single" w:sz="4" w:space="0" w:color="999999" w:themeColor="text1" w:themeTint="66"/>
                    <w:right w:val="single" w:sz="4" w:space="0" w:color="999999" w:themeColor="text1" w:themeTint="66"/>
                  </w:tcBorders>
                  <w:hideMark/>
                </w:tcPr>
                <w:p w14:paraId="3E83C662" w14:textId="77777777" w:rsidR="00C923D4" w:rsidRPr="00EC571F" w:rsidRDefault="00C923D4" w:rsidP="00C923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u w:val="single"/>
                    </w:rPr>
                  </w:pPr>
                  <w:r w:rsidRPr="00EC571F">
                    <w:rPr>
                      <w:rFonts w:ascii="Arial" w:hAnsi="Arial" w:cs="Arial"/>
                      <w:sz w:val="16"/>
                      <w:szCs w:val="16"/>
                      <w:u w:val="single"/>
                    </w:rPr>
                    <w:t>Weekly</w:t>
                  </w:r>
                </w:p>
                <w:p w14:paraId="605E62FC" w14:textId="77777777" w:rsidR="00C923D4" w:rsidRPr="00EC571F" w:rsidRDefault="00C923D4" w:rsidP="00C923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EC571F">
                    <w:rPr>
                      <w:rFonts w:ascii="Arial" w:hAnsi="Arial" w:cs="Arial"/>
                      <w:sz w:val="16"/>
                      <w:szCs w:val="16"/>
                      <w:u w:val="single"/>
                    </w:rPr>
                    <w:t>Rates</w:t>
                  </w:r>
                </w:p>
              </w:tc>
              <w:tc>
                <w:tcPr>
                  <w:tcW w:w="536" w:type="pct"/>
                  <w:tcBorders>
                    <w:top w:val="single" w:sz="4" w:space="0" w:color="999999" w:themeColor="text1" w:themeTint="66"/>
                    <w:left w:val="single" w:sz="4" w:space="0" w:color="999999" w:themeColor="text1" w:themeTint="66"/>
                    <w:right w:val="single" w:sz="4" w:space="0" w:color="999999" w:themeColor="text1" w:themeTint="66"/>
                  </w:tcBorders>
                  <w:hideMark/>
                </w:tcPr>
                <w:p w14:paraId="20083F08" w14:textId="77777777" w:rsidR="00C923D4" w:rsidRPr="00EC571F" w:rsidRDefault="00C923D4" w:rsidP="00C923D4">
                  <w:pPr>
                    <w:tabs>
                      <w:tab w:val="left" w:pos="-720"/>
                      <w:tab w:val="left" w:pos="0"/>
                    </w:tabs>
                    <w:suppressAutoHyphens/>
                    <w:ind w:left="-144" w:right="-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u w:val="single"/>
                    </w:rPr>
                  </w:pPr>
                  <w:r w:rsidRPr="00EC571F">
                    <w:rPr>
                      <w:rFonts w:ascii="Arial" w:hAnsi="Arial" w:cs="Arial"/>
                      <w:sz w:val="16"/>
                      <w:szCs w:val="16"/>
                      <w:u w:val="single"/>
                    </w:rPr>
                    <w:t>Monthly</w:t>
                  </w:r>
                </w:p>
                <w:p w14:paraId="7766D571" w14:textId="77777777" w:rsidR="00C923D4" w:rsidRPr="00EC571F" w:rsidRDefault="00C923D4" w:rsidP="00C923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EC571F">
                    <w:rPr>
                      <w:rFonts w:ascii="Arial" w:hAnsi="Arial" w:cs="Arial"/>
                      <w:sz w:val="16"/>
                      <w:szCs w:val="16"/>
                      <w:u w:val="single"/>
                    </w:rPr>
                    <w:t>Rates</w:t>
                  </w:r>
                </w:p>
              </w:tc>
              <w:tc>
                <w:tcPr>
                  <w:tcW w:w="471" w:type="pct"/>
                  <w:tcBorders>
                    <w:top w:val="single" w:sz="4" w:space="0" w:color="999999" w:themeColor="text1" w:themeTint="66"/>
                    <w:left w:val="single" w:sz="4" w:space="0" w:color="999999" w:themeColor="text1" w:themeTint="66"/>
                    <w:right w:val="single" w:sz="4" w:space="0" w:color="999999" w:themeColor="text1" w:themeTint="66"/>
                  </w:tcBorders>
                  <w:hideMark/>
                </w:tcPr>
                <w:p w14:paraId="3F175174" w14:textId="77777777" w:rsidR="00C923D4" w:rsidRPr="00EC571F" w:rsidRDefault="00C923D4" w:rsidP="00C923D4">
                  <w:pPr>
                    <w:tabs>
                      <w:tab w:val="left" w:pos="-720"/>
                      <w:tab w:val="left" w:pos="0"/>
                    </w:tabs>
                    <w:suppressAutoHyphens/>
                    <w:ind w:left="-144" w:right="-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u w:val="single"/>
                    </w:rPr>
                  </w:pPr>
                  <w:r w:rsidRPr="00EC571F">
                    <w:rPr>
                      <w:rFonts w:ascii="Arial" w:hAnsi="Arial" w:cs="Arial"/>
                      <w:sz w:val="16"/>
                      <w:szCs w:val="16"/>
                      <w:u w:val="single"/>
                    </w:rPr>
                    <w:t xml:space="preserve">Daily </w:t>
                  </w:r>
                </w:p>
                <w:p w14:paraId="7C9C9D4A" w14:textId="77777777" w:rsidR="00C923D4" w:rsidRPr="00EC571F" w:rsidRDefault="00C923D4" w:rsidP="00C923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EC571F">
                    <w:rPr>
                      <w:rFonts w:ascii="Arial" w:hAnsi="Arial" w:cs="Arial"/>
                      <w:sz w:val="16"/>
                      <w:szCs w:val="16"/>
                      <w:u w:val="single"/>
                    </w:rPr>
                    <w:t>Mileage</w:t>
                  </w:r>
                </w:p>
              </w:tc>
              <w:tc>
                <w:tcPr>
                  <w:tcW w:w="471" w:type="pct"/>
                  <w:tcBorders>
                    <w:top w:val="single" w:sz="4" w:space="0" w:color="999999" w:themeColor="text1" w:themeTint="66"/>
                    <w:left w:val="single" w:sz="4" w:space="0" w:color="999999" w:themeColor="text1" w:themeTint="66"/>
                    <w:right w:val="single" w:sz="4" w:space="0" w:color="999999" w:themeColor="text1" w:themeTint="66"/>
                  </w:tcBorders>
                  <w:hideMark/>
                </w:tcPr>
                <w:p w14:paraId="1F4B0B08" w14:textId="77777777" w:rsidR="00C923D4" w:rsidRPr="00EC571F" w:rsidRDefault="00C923D4" w:rsidP="00C923D4">
                  <w:pPr>
                    <w:tabs>
                      <w:tab w:val="left" w:pos="-720"/>
                      <w:tab w:val="left" w:pos="0"/>
                    </w:tabs>
                    <w:suppressAutoHyphens/>
                    <w:ind w:left="-144" w:right="-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u w:val="single"/>
                    </w:rPr>
                  </w:pPr>
                  <w:r w:rsidRPr="00EC571F">
                    <w:rPr>
                      <w:rFonts w:ascii="Arial" w:hAnsi="Arial" w:cs="Arial"/>
                      <w:sz w:val="16"/>
                      <w:szCs w:val="16"/>
                      <w:u w:val="single"/>
                    </w:rPr>
                    <w:t xml:space="preserve">Weekly </w:t>
                  </w:r>
                </w:p>
                <w:p w14:paraId="1CF30228" w14:textId="77777777" w:rsidR="00C923D4" w:rsidRPr="00EC571F" w:rsidRDefault="00C923D4" w:rsidP="00C923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EC571F">
                    <w:rPr>
                      <w:rFonts w:ascii="Arial" w:hAnsi="Arial" w:cs="Arial"/>
                      <w:sz w:val="16"/>
                      <w:szCs w:val="16"/>
                      <w:u w:val="single"/>
                    </w:rPr>
                    <w:t>Mileage</w:t>
                  </w:r>
                </w:p>
              </w:tc>
              <w:tc>
                <w:tcPr>
                  <w:tcW w:w="404" w:type="pct"/>
                  <w:tcBorders>
                    <w:top w:val="single" w:sz="4" w:space="0" w:color="999999" w:themeColor="text1" w:themeTint="66"/>
                    <w:left w:val="single" w:sz="4" w:space="0" w:color="999999" w:themeColor="text1" w:themeTint="66"/>
                    <w:right w:val="single" w:sz="4" w:space="0" w:color="999999" w:themeColor="text1" w:themeTint="66"/>
                  </w:tcBorders>
                  <w:hideMark/>
                </w:tcPr>
                <w:p w14:paraId="31A6809D" w14:textId="77777777" w:rsidR="00C923D4" w:rsidRPr="00EC571F" w:rsidRDefault="00C923D4" w:rsidP="00C923D4">
                  <w:pPr>
                    <w:tabs>
                      <w:tab w:val="left" w:pos="-720"/>
                      <w:tab w:val="left" w:pos="0"/>
                    </w:tabs>
                    <w:suppressAutoHyphens/>
                    <w:ind w:left="-144" w:right="-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u w:val="single"/>
                    </w:rPr>
                  </w:pPr>
                  <w:r w:rsidRPr="00EC571F">
                    <w:rPr>
                      <w:rFonts w:ascii="Arial" w:hAnsi="Arial" w:cs="Arial"/>
                      <w:sz w:val="16"/>
                      <w:szCs w:val="16"/>
                      <w:u w:val="single"/>
                    </w:rPr>
                    <w:t xml:space="preserve">Monthly </w:t>
                  </w:r>
                </w:p>
                <w:p w14:paraId="5BA0D6D5" w14:textId="77777777" w:rsidR="00C923D4" w:rsidRPr="00EC571F" w:rsidRDefault="00C923D4" w:rsidP="00C923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EC571F">
                    <w:rPr>
                      <w:rFonts w:ascii="Arial" w:hAnsi="Arial" w:cs="Arial"/>
                      <w:sz w:val="16"/>
                      <w:szCs w:val="16"/>
                      <w:u w:val="single"/>
                    </w:rPr>
                    <w:t>Mileage</w:t>
                  </w:r>
                </w:p>
              </w:tc>
              <w:tc>
                <w:tcPr>
                  <w:tcW w:w="404" w:type="pct"/>
                  <w:tcBorders>
                    <w:top w:val="single" w:sz="4" w:space="0" w:color="999999" w:themeColor="text1" w:themeTint="66"/>
                    <w:left w:val="single" w:sz="4" w:space="0" w:color="999999" w:themeColor="text1" w:themeTint="66"/>
                    <w:right w:val="single" w:sz="4" w:space="0" w:color="999999" w:themeColor="text1" w:themeTint="66"/>
                  </w:tcBorders>
                  <w:hideMark/>
                </w:tcPr>
                <w:p w14:paraId="445E9460" w14:textId="77777777" w:rsidR="00C923D4" w:rsidRPr="00EC571F" w:rsidRDefault="00C923D4" w:rsidP="00C923D4">
                  <w:pPr>
                    <w:tabs>
                      <w:tab w:val="left" w:pos="-720"/>
                      <w:tab w:val="left" w:pos="0"/>
                    </w:tabs>
                    <w:suppressAutoHyphens/>
                    <w:ind w:left="-144" w:right="-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u w:val="single"/>
                    </w:rPr>
                  </w:pPr>
                  <w:r w:rsidRPr="00EC571F">
                    <w:rPr>
                      <w:rFonts w:ascii="Arial" w:hAnsi="Arial" w:cs="Arial"/>
                      <w:sz w:val="16"/>
                      <w:szCs w:val="16"/>
                      <w:u w:val="single"/>
                    </w:rPr>
                    <w:t xml:space="preserve">Mileage </w:t>
                  </w:r>
                </w:p>
                <w:p w14:paraId="7B6F0F66" w14:textId="77777777" w:rsidR="00C923D4" w:rsidRPr="00EC571F" w:rsidRDefault="00C923D4" w:rsidP="00C923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EC571F">
                    <w:rPr>
                      <w:rFonts w:ascii="Arial" w:hAnsi="Arial" w:cs="Arial"/>
                      <w:sz w:val="16"/>
                      <w:szCs w:val="16"/>
                      <w:u w:val="single"/>
                    </w:rPr>
                    <w:t>Charge</w:t>
                  </w:r>
                </w:p>
              </w:tc>
            </w:tr>
            <w:tr w:rsidR="00624D6C" w14:paraId="2AC9417B"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21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tcPr>
                <w:p w14:paraId="3CF54A47" w14:textId="77777777" w:rsidR="00624D6C" w:rsidRDefault="00624D6C" w:rsidP="00624D6C">
                  <w:pPr>
                    <w:ind w:left="113" w:right="113"/>
                    <w:jc w:val="center"/>
                    <w:rPr>
                      <w:rFonts w:ascii="Arial" w:hAnsi="Arial" w:cs="Arial"/>
                      <w:b w:val="0"/>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92F5EBC"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DBOX</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9521D14"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16' Box</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E324661" w14:textId="56ABE47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$83.50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9C2E754" w14:textId="2E38272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$438.00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5317786" w14:textId="15861DF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$1,895.00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5C3531C" w14:textId="3AEEE3E5"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157FD5D" w14:textId="79A98D0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79FA85D" w14:textId="789502C9"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30AA783" w14:textId="1998CBE3"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0E3AE6FD"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5E1CCF3"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8041C5"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EBOX</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6804F2"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20’ Box</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A92A4B6" w14:textId="4D1D0FCF"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$88.75</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6C5AA11" w14:textId="30D07AB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$464.00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81A20BE" w14:textId="366D58A3"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$2,007.00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D671FAC" w14:textId="0798DBE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836CCB3" w14:textId="0E39ACC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9579FE2" w14:textId="55A6F39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19D6511" w14:textId="15D293B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771C4825"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4BC3907"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E47A9A"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FBOX</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F4038DB"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24' Box</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DD1EFB1" w14:textId="19D9BD1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$88.75</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9E533BE" w14:textId="6C86BCA9"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$464.00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8FEBCB7" w14:textId="168AF549"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$2,007.00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F9A9744" w14:textId="00DAB2E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8A9DCEE" w14:textId="610E2EB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78D460A" w14:textId="78232AC6"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1C4D497" w14:textId="4A799B9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24D6D3E7"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308A27E"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4E674E"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GBOX</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3DE09A1"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26' Box</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8244DB8" w14:textId="0CCDDB9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$94.00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3C6325B" w14:textId="2762CFC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$490.00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586B4D6" w14:textId="78FE689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$2,120.00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BD43F3F" w14:textId="782CE2B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88B34FE" w14:textId="6D0373C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F7CDDB3" w14:textId="387CA02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451E54F" w14:textId="3651B31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30D0D4B4"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21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textDirection w:val="btLr"/>
                  <w:hideMark/>
                </w:tcPr>
                <w:p w14:paraId="608C1457" w14:textId="77777777" w:rsidR="00624D6C" w:rsidRDefault="00624D6C" w:rsidP="00624D6C">
                  <w:pPr>
                    <w:ind w:left="113" w:right="113"/>
                    <w:jc w:val="center"/>
                    <w:rPr>
                      <w:rFonts w:ascii="Arial" w:hAnsi="Arial" w:cs="Arial"/>
                      <w:b w:val="0"/>
                      <w:sz w:val="16"/>
                      <w:szCs w:val="16"/>
                    </w:rPr>
                  </w:pPr>
                  <w:r>
                    <w:rPr>
                      <w:rFonts w:ascii="Arial" w:hAnsi="Arial" w:cs="Arial"/>
                      <w:sz w:val="16"/>
                      <w:szCs w:val="16"/>
                    </w:rPr>
                    <w:t>LIGHT DUTY</w:t>
                  </w: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78F53C1F"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OPAR</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73106E64"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3/4 ton P/up 2wd</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867D95A" w14:textId="44FC8FD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$73.00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30A489C" w14:textId="0B5A7849"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$385.00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C904643" w14:textId="2FF4EA5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$1,665.00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5E45E05" w14:textId="20181D4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44F7ABF3" w14:textId="58282055"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C8C63B7" w14:textId="166D3A2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0DA4689" w14:textId="7751242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2D6A4279"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67CDC8C"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0F25DAED"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OQAR</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3A4C7770"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3/4 ton P/up 4wd</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28EC627" w14:textId="3B4191C6"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$78.25</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A547E10" w14:textId="679D58D4"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$411.00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767518FB" w14:textId="4C217EA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$1,778.00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54C47FA" w14:textId="775D3C9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A71FFC9" w14:textId="4EE9625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26EA42C" w14:textId="6A6D769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499D2A3D" w14:textId="7EE56E24"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4725CED2"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084ED67"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66947344"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OQBD</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6816D24A"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3/4 ton Diesel P/up 4wd</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4E8E51E0" w14:textId="750A9E4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$83.25</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44E7D4EB" w14:textId="31C40AB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$436.00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CE00D59" w14:textId="3B68D58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$1,886.00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A6CB7DF" w14:textId="046B95C4"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7D6A3C2" w14:textId="2E5D2CF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054F05D" w14:textId="4791B786"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596040A" w14:textId="42BF6A44"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5BB0FFEB"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07C2A4E"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066FA7EA"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UPAR</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04896A9E"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 ton P/up 2wd</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6CBE220" w14:textId="76620D2E"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$83.50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76AEBE56" w14:textId="6F1908D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$438.00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8C8EBD8" w14:textId="6EF529C3"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$1,895.00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F0C8806" w14:textId="3C3A5C55"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ECB1DC1" w14:textId="25F4FBC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1414B35" w14:textId="426ACA8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0EEFEC8" w14:textId="445C910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6DC2DB9A"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056BC3B"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0A7FDF74"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UQAR</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66AC2B92"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 ton P/up 4wd</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76107659" w14:textId="7210842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$88.75</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70992D43" w14:textId="7738E3CF"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$464.00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F6A6A23" w14:textId="78506D3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$2,007.00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707691DC" w14:textId="15E90F84"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FC69A43" w14:textId="2904E65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118C133" w14:textId="3C05519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DB89898" w14:textId="2E34FA69"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610AAC4E"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76FA1B9"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409C1CEF"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UQBD</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400ED7CA"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 ton Diesel P/up 4wd</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1479277E" w14:textId="5F45D95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$93.75</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6ECCEB7" w14:textId="38319EB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$489.00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45C2EFF6" w14:textId="132D14D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$2,116.00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27C9405" w14:textId="33184B0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04773FB" w14:textId="4603FDD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039612A" w14:textId="222E5CA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4516133" w14:textId="41775673"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49524D54"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21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tcPr>
                <w:p w14:paraId="718110D0" w14:textId="77777777" w:rsidR="00624D6C" w:rsidRDefault="00624D6C" w:rsidP="00624D6C">
                  <w:pPr>
                    <w:ind w:left="113" w:right="113"/>
                    <w:jc w:val="center"/>
                    <w:rPr>
                      <w:rFonts w:ascii="Arial" w:hAnsi="Arial" w:cs="Arial"/>
                      <w:b w:val="0"/>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F6EEBA7"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BCUT</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D535BAE"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12' Cutaway</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1F0FF58" w14:textId="4CE58B2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$70.90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580CAB4" w14:textId="6390612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$375.00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8ED3F45" w14:textId="608F4896"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$1,622.00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0A118D9" w14:textId="67A53EF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F43346A" w14:textId="496CA04E"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03EC2D1" w14:textId="674EBAB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2C48C98" w14:textId="1A3C5E7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605CA8B7"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56D7AE0"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40FC875"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DCUG</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C89E553"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 Cutaway with Gate</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12FA388" w14:textId="08FCD8C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$85.90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BA14DFC" w14:textId="4D91B60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$450.00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6396B28" w14:textId="69D2027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$1,947.00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3D09BC3" w14:textId="525E957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4F448D7" w14:textId="1197CD0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A9B3CC2" w14:textId="07A1F34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07695C7" w14:textId="1901735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55F78403"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DC161E0"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D4BB2B"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DCUT</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21D56EF"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14-15' Cutaway</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A9CE165" w14:textId="389A2B3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$76.15</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F7FBFF9" w14:textId="6B1BA72F"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$401.00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2F49CF4" w14:textId="033CBEFF"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$1,734.00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D363341" w14:textId="6AFF44F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3590CC6" w14:textId="5E064EF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A4BB855" w14:textId="331118D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5EB7BC2" w14:textId="67B1D413"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56CAAE54"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3904C52"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CCA87A"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BSTK</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681D1F"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12'-14' Stakebed</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C320F13" w14:textId="31C768C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$94.00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778F316" w14:textId="0CB357D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$490.00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612931E" w14:textId="6FE2027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$2,120.00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1A2D71E" w14:textId="31F32DF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F235F0F" w14:textId="59378DEF"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B028F07" w14:textId="434CF9E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C35CB73" w14:textId="2C21BB1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56E05710"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88EA528"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362C4CC"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CSTK</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F24BB13"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Stake Class 4/5 Conv</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F299023" w14:textId="3E463FC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$94.00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88B4616" w14:textId="723A684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$490.00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20C9CC0" w14:textId="76D98DB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$2,120.00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8E634A9" w14:textId="7B1C7C04"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27F191B" w14:textId="0ECEA8E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0F2CEE4" w14:textId="29318A4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DF7CF80" w14:textId="2513213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459838FC"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778DA80"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634A99"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DSTK</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31B136"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15-16' Stakebed</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B685889" w14:textId="745A4B7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$94.00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D19332C" w14:textId="5670D02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$490.00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1ACCE9B1" w14:textId="6CC3475E"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$2,120.00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22DE273" w14:textId="6C932ED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755523A0" w14:textId="6578046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E44A6C3" w14:textId="484CF233"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ABE6793" w14:textId="69ED4BB6"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540FAFC6"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BCEF96E"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E43E1A7"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FSTK</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34A4B4"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24' Stakebed</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79F497D" w14:textId="7F69941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$104.50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4D2E774" w14:textId="597042A3"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$543.00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A05F29B" w14:textId="57802D94"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$2,350.00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138F741" w14:textId="4AF47D1F"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41725560" w14:textId="2070EC0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A4218C4" w14:textId="271A7865"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4BD0FB0" w14:textId="4F7E691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224328AE" w14:textId="77777777" w:rsidTr="00624D6C">
              <w:trPr>
                <w:trHeight w:val="26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8D71ACA"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2BABBE"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GSTK</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9689BAB"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26' Stakebed</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D28F4DE" w14:textId="10BE57C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$104.50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6746CB54" w14:textId="3A30940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$543.00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21F337D3" w14:textId="14C67FF6"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$2,350.00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0AB1591F" w14:textId="3D897D9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50B4A7F8" w14:textId="5EA45EA6"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D9CA74A" w14:textId="62D0011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DCAA5B0" w14:textId="3F91BD3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0B1BBBFE"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21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textDirection w:val="btLr"/>
                  <w:hideMark/>
                </w:tcPr>
                <w:p w14:paraId="057C6997" w14:textId="77777777" w:rsidR="00624D6C" w:rsidRDefault="00624D6C" w:rsidP="00624D6C">
                  <w:pPr>
                    <w:ind w:left="113" w:right="113"/>
                    <w:jc w:val="center"/>
                    <w:rPr>
                      <w:rFonts w:ascii="Arial" w:hAnsi="Arial" w:cs="Arial"/>
                      <w:sz w:val="16"/>
                      <w:szCs w:val="16"/>
                    </w:rPr>
                  </w:pPr>
                  <w:r>
                    <w:rPr>
                      <w:rFonts w:ascii="Arial" w:hAnsi="Arial" w:cs="Arial"/>
                      <w:sz w:val="16"/>
                      <w:szCs w:val="16"/>
                    </w:rPr>
                    <w:t>LIGHT DUTY</w:t>
                  </w: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10EB792F"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SKAR</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3494C3CF"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Cargo Van</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4A28BDD5" w14:textId="76AF1A2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$65.65</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180761DC" w14:textId="2F42AC5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$404.00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E41E15A" w14:textId="4CC108E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$1,636.00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706F2EE1" w14:textId="60C78435"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7466713C" w14:textId="6127DAD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1913029C" w14:textId="51025D8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957DF3C" w14:textId="5514D37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076A2B26"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07C5C8"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3F3B6093"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RKAR</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63F4B5DA"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HD Cargo Van</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DF14CDA" w14:textId="4C09BC45"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$65.65</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D1E2D2C" w14:textId="09F90FC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$404.00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9B7D2FE" w14:textId="48BF666F"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$1,636.00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C26243A" w14:textId="62CB5A43"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E48A9A0" w14:textId="2E52A21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4A02FD4" w14:textId="33213FD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10577D2F" w14:textId="1B01C9C3"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6E7F4853"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F0617B1"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77C78E54"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GKAR</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3DAC3316"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HD XL Cargo Van</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1230B587" w14:textId="5E6400C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$70.00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71B0AA0C" w14:textId="5C239D89"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$430.00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1787C6E" w14:textId="3152EB4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$1,740.00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64A5B5C" w14:textId="1D9A319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D9F9245" w14:textId="3F6DEAB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DBB1D3C" w14:textId="76D32FE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4E5D5B2A" w14:textId="2EA5FA8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119FA9C9"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40691D7"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2B1597FC"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UKAR</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76745ED5"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High-top Cargo</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9670BBC" w14:textId="49C61ED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$75.00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13A1CF7" w14:textId="3EFA82E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$460.00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1D75F843" w14:textId="44F358D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$1,860.00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1C1F596" w14:textId="1EE253B8"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18F74DC4" w14:textId="6BB26B5E"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26F1C9C" w14:textId="36CDF7D3"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BA986A7" w14:textId="3089123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57A491B3"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54133D3"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216DFB26"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JKAR</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13489DF3"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Mini Cargo Van</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3E02F25" w14:textId="00CFEC21"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$63.00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A7D7D4D" w14:textId="4992CC1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$388.00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B3CCB2A" w14:textId="4E248C7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$1,572.00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64ADC14" w14:textId="16A92B1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10E9D298" w14:textId="72E748E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7540D733" w14:textId="2DE5AD0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38CB264" w14:textId="158BB30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3A2EAECF"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F766507" w14:textId="77777777" w:rsidR="00624D6C" w:rsidRDefault="00624D6C" w:rsidP="00624D6C">
                  <w:pP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5C0EB80D"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SPAR</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3BB7A3E3"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1/2 ton P/up Standard</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F171B27" w14:textId="324199FB"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$78.25</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47958ED" w14:textId="053B0B94"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$480.00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E552097" w14:textId="0C4934B3"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$1,938.00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2D005F0" w14:textId="5F2C966D"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6180B428" w14:textId="4C93B11C"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18C58EC" w14:textId="58FE4D05"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03C08EA" w14:textId="2B5FC32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r w:rsidR="00624D6C" w14:paraId="5AFC5266" w14:textId="77777777" w:rsidTr="00624D6C">
              <w:trPr>
                <w:trHeight w:val="243"/>
              </w:trPr>
              <w:tc>
                <w:tcPr>
                  <w:cnfStyle w:val="001000000000" w:firstRow="0" w:lastRow="0" w:firstColumn="1" w:lastColumn="0" w:oddVBand="0" w:evenVBand="0" w:oddHBand="0" w:evenHBand="0" w:firstRowFirstColumn="0" w:firstRowLastColumn="0" w:lastRowFirstColumn="0" w:lastRowLastColumn="0"/>
                  <w:tcW w:w="21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tcPr>
                <w:p w14:paraId="2BF4FEB6" w14:textId="77777777" w:rsidR="00624D6C" w:rsidRDefault="00624D6C" w:rsidP="00624D6C">
                  <w:pPr>
                    <w:ind w:left="113" w:right="113"/>
                    <w:jc w:val="center"/>
                    <w:rPr>
                      <w:rFonts w:ascii="Arial" w:hAnsi="Arial" w:cs="Arial"/>
                      <w:sz w:val="16"/>
                      <w:szCs w:val="16"/>
                    </w:rPr>
                  </w:pPr>
                </w:p>
              </w:tc>
              <w:tc>
                <w:tcPr>
                  <w:tcW w:w="3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70DC58D7" w14:textId="77777777" w:rsidR="00624D6C" w:rsidRPr="00EC571F" w:rsidRDefault="00624D6C" w:rsidP="00624D6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PPAR</w:t>
                  </w:r>
                </w:p>
              </w:tc>
              <w:tc>
                <w:tcPr>
                  <w:tcW w:w="11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center"/>
                  <w:hideMark/>
                </w:tcPr>
                <w:p w14:paraId="5049304F" w14:textId="77777777" w:rsidR="00624D6C" w:rsidRPr="00EC571F" w:rsidRDefault="00624D6C" w:rsidP="00624D6C">
                  <w:pPr>
                    <w:ind w:left="144"/>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1/2 ton P/up Fullsize</w:t>
                  </w:r>
                </w:p>
              </w:tc>
              <w:tc>
                <w:tcPr>
                  <w:tcW w:w="4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22CF1873" w14:textId="51D93892"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$83.50</w:t>
                  </w:r>
                </w:p>
              </w:tc>
              <w:tc>
                <w:tcPr>
                  <w:tcW w:w="4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7DE9ADC5" w14:textId="0A18FEB9"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$511.00</w:t>
                  </w:r>
                </w:p>
              </w:tc>
              <w:tc>
                <w:tcPr>
                  <w:tcW w:w="5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08BC4F0A" w14:textId="5ADE8270"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24D6C">
                    <w:rPr>
                      <w:rFonts w:ascii="Arial" w:hAnsi="Arial" w:cs="Arial"/>
                      <w:b/>
                      <w:sz w:val="16"/>
                      <w:szCs w:val="16"/>
                    </w:rPr>
                    <w:t>$2,064.00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B30D879" w14:textId="2EDDAE75"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150</w:t>
                  </w:r>
                </w:p>
              </w:tc>
              <w:tc>
                <w:tcPr>
                  <w:tcW w:w="4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BED6961" w14:textId="097A78BA"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750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3DF09CC2" w14:textId="3A76303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3,000</w:t>
                  </w:r>
                </w:p>
              </w:tc>
              <w:tc>
                <w:tcPr>
                  <w:tcW w:w="4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vAlign w:val="bottom"/>
                </w:tcPr>
                <w:p w14:paraId="52BA953E" w14:textId="13CD6337" w:rsidR="00624D6C" w:rsidRPr="00EC571F" w:rsidRDefault="00624D6C" w:rsidP="00624D6C">
                  <w:pPr>
                    <w:ind w:left="144"/>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C571F">
                    <w:rPr>
                      <w:rFonts w:ascii="Arial" w:hAnsi="Arial" w:cs="Arial"/>
                      <w:b/>
                      <w:sz w:val="16"/>
                      <w:szCs w:val="16"/>
                    </w:rPr>
                    <w:t>$0.14</w:t>
                  </w:r>
                </w:p>
              </w:tc>
            </w:tr>
          </w:tbl>
          <w:p w14:paraId="6DCE0358" w14:textId="619C7A36" w:rsidR="00FB4C0C" w:rsidRPr="007D2173" w:rsidRDefault="00C923D4" w:rsidP="00FB4C0C">
            <w:pPr>
              <w:jc w:val="center"/>
              <w:rPr>
                <w:rFonts w:ascii="Century Gothic" w:hAnsi="Century Gothic"/>
                <w:color w:val="00703C"/>
                <w:sz w:val="16"/>
                <w:szCs w:val="16"/>
              </w:rPr>
            </w:pPr>
            <w:r>
              <w:rPr>
                <w:noProof/>
              </w:rPr>
              <w:drawing>
                <wp:anchor distT="0" distB="0" distL="114300" distR="114300" simplePos="0" relativeHeight="251659264" behindDoc="0" locked="0" layoutInCell="1" allowOverlap="1" wp14:anchorId="4B0952BE" wp14:editId="08CB03C0">
                  <wp:simplePos x="0" y="0"/>
                  <wp:positionH relativeFrom="column">
                    <wp:posOffset>7620</wp:posOffset>
                  </wp:positionH>
                  <wp:positionV relativeFrom="paragraph">
                    <wp:posOffset>1270</wp:posOffset>
                  </wp:positionV>
                  <wp:extent cx="699135" cy="295910"/>
                  <wp:effectExtent l="0" t="0" r="5715" b="8890"/>
                  <wp:wrapNone/>
                  <wp:docPr id="11" name="Picture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 cy="295910"/>
                          </a:xfrm>
                          <a:prstGeom prst="rect">
                            <a:avLst/>
                          </a:prstGeom>
                          <a:noFill/>
                        </pic:spPr>
                      </pic:pic>
                    </a:graphicData>
                  </a:graphic>
                  <wp14:sizeRelH relativeFrom="margin">
                    <wp14:pctWidth>0</wp14:pctWidth>
                  </wp14:sizeRelH>
                  <wp14:sizeRelV relativeFrom="margin">
                    <wp14:pctHeight>0</wp14:pctHeight>
                  </wp14:sizeRelV>
                </wp:anchor>
              </w:drawing>
            </w:r>
          </w:p>
        </w:tc>
      </w:tr>
      <w:tr w:rsidR="00FB4C0C" w14:paraId="0FB525E1" w14:textId="77777777" w:rsidTr="00FB4C0C">
        <w:trPr>
          <w:trHeight w:val="1268"/>
        </w:trPr>
        <w:tc>
          <w:tcPr>
            <w:tcW w:w="12325" w:type="dxa"/>
            <w:tcBorders>
              <w:top w:val="single" w:sz="8" w:space="0" w:color="00703C"/>
              <w:bottom w:val="single" w:sz="24" w:space="0" w:color="00703C"/>
            </w:tcBorders>
            <w:vAlign w:val="center"/>
          </w:tcPr>
          <w:p w14:paraId="0F529580" w14:textId="5159939C" w:rsidR="00FB4C0C" w:rsidRPr="00EC571F" w:rsidRDefault="00FB4C0C" w:rsidP="00FB4C0C">
            <w:pPr>
              <w:rPr>
                <w:rFonts w:ascii="Arial" w:hAnsi="Arial" w:cs="Arial"/>
                <w:b/>
                <w:bCs/>
                <w:color w:val="00703C"/>
                <w:sz w:val="10"/>
                <w:szCs w:val="10"/>
              </w:rPr>
            </w:pPr>
            <w:r w:rsidRPr="00EC571F">
              <w:rPr>
                <w:rFonts w:ascii="Arial" w:hAnsi="Arial" w:cs="Arial"/>
                <w:b/>
                <w:bCs/>
                <w:color w:val="00703C"/>
              </w:rPr>
              <w:t>City Surcharges</w:t>
            </w:r>
          </w:p>
          <w:p w14:paraId="7480AA6D" w14:textId="77777777" w:rsidR="00F92D96" w:rsidRPr="00EC571F" w:rsidRDefault="00F92D96" w:rsidP="00FB4C0C">
            <w:pPr>
              <w:rPr>
                <w:rFonts w:ascii="Arial" w:hAnsi="Arial" w:cs="Arial"/>
                <w:b/>
                <w:bCs/>
                <w:color w:val="00703C"/>
                <w:sz w:val="10"/>
                <w:szCs w:val="10"/>
              </w:rPr>
            </w:pPr>
          </w:p>
          <w:p w14:paraId="6E3DFEA1" w14:textId="2079877E" w:rsidR="00683DB5" w:rsidRPr="00EC571F" w:rsidRDefault="00FF30E1" w:rsidP="00683DB5">
            <w:pPr>
              <w:pStyle w:val="NormalWeb"/>
              <w:spacing w:before="0" w:beforeAutospacing="0" w:after="0" w:afterAutospacing="0"/>
              <w:rPr>
                <w:rFonts w:ascii="Arial" w:hAnsi="Arial" w:cs="Arial"/>
                <w:sz w:val="16"/>
                <w:szCs w:val="16"/>
              </w:rPr>
            </w:pPr>
            <w:r>
              <w:rPr>
                <w:rFonts w:ascii="Arial" w:hAnsi="Arial" w:cs="Arial"/>
                <w:b/>
                <w:bCs/>
                <w:sz w:val="16"/>
                <w:szCs w:val="16"/>
              </w:rPr>
              <w:t xml:space="preserve">   </w:t>
            </w:r>
            <w:r w:rsidR="00683DB5" w:rsidRPr="00EC571F">
              <w:rPr>
                <w:rFonts w:ascii="Arial" w:hAnsi="Arial" w:cs="Arial"/>
                <w:b/>
                <w:bCs/>
                <w:sz w:val="16"/>
                <w:szCs w:val="16"/>
              </w:rPr>
              <w:t xml:space="preserve">$10.00: </w:t>
            </w:r>
            <w:r w:rsidR="00683DB5" w:rsidRPr="00EC571F">
              <w:rPr>
                <w:rFonts w:ascii="Arial" w:hAnsi="Arial" w:cs="Arial"/>
                <w:sz w:val="16"/>
                <w:szCs w:val="16"/>
              </w:rPr>
              <w:t>Commonwealth of Puerto Rico</w:t>
            </w:r>
          </w:p>
          <w:p w14:paraId="5B5E49FE" w14:textId="5FDA2742" w:rsidR="00683DB5" w:rsidRPr="00EC571F" w:rsidRDefault="00FF30E1" w:rsidP="00683DB5">
            <w:pPr>
              <w:pStyle w:val="NormalWeb"/>
              <w:spacing w:before="0" w:beforeAutospacing="0" w:after="0" w:afterAutospacing="0"/>
              <w:rPr>
                <w:rFonts w:ascii="Arial" w:hAnsi="Arial" w:cs="Arial"/>
                <w:sz w:val="16"/>
                <w:szCs w:val="16"/>
              </w:rPr>
            </w:pPr>
            <w:r>
              <w:rPr>
                <w:rFonts w:ascii="Arial" w:hAnsi="Arial" w:cs="Arial"/>
                <w:b/>
                <w:bCs/>
                <w:sz w:val="16"/>
                <w:szCs w:val="16"/>
              </w:rPr>
              <w:t xml:space="preserve">   </w:t>
            </w:r>
            <w:r w:rsidR="00683DB5" w:rsidRPr="00EC571F">
              <w:rPr>
                <w:rFonts w:ascii="Arial" w:hAnsi="Arial" w:cs="Arial"/>
                <w:b/>
                <w:bCs/>
                <w:sz w:val="16"/>
                <w:szCs w:val="16"/>
              </w:rPr>
              <w:t xml:space="preserve">$14.00: </w:t>
            </w:r>
            <w:r w:rsidR="00683DB5" w:rsidRPr="00EC571F">
              <w:rPr>
                <w:rFonts w:ascii="Arial" w:hAnsi="Arial" w:cs="Arial"/>
                <w:sz w:val="16"/>
                <w:szCs w:val="16"/>
              </w:rPr>
              <w:t>State of NY; NY/CT/NJ Metro including Westchester, Islip, Stamford &amp; Jersey City</w:t>
            </w:r>
          </w:p>
          <w:p w14:paraId="4B497781" w14:textId="6458B518" w:rsidR="00683DB5" w:rsidRPr="00EC571F" w:rsidRDefault="00FF30E1" w:rsidP="00683DB5">
            <w:pPr>
              <w:pStyle w:val="NormalWeb"/>
              <w:spacing w:before="0" w:beforeAutospacing="0" w:after="0" w:afterAutospacing="0"/>
              <w:rPr>
                <w:rFonts w:ascii="Arial" w:hAnsi="Arial" w:cs="Arial"/>
                <w:sz w:val="16"/>
                <w:szCs w:val="16"/>
              </w:rPr>
            </w:pPr>
            <w:r>
              <w:rPr>
                <w:rFonts w:ascii="Arial" w:hAnsi="Arial" w:cs="Arial"/>
                <w:b/>
                <w:bCs/>
                <w:sz w:val="16"/>
                <w:szCs w:val="16"/>
              </w:rPr>
              <w:t xml:space="preserve">   </w:t>
            </w:r>
            <w:r w:rsidR="00683DB5" w:rsidRPr="00EC571F">
              <w:rPr>
                <w:rFonts w:ascii="Arial" w:hAnsi="Arial" w:cs="Arial"/>
                <w:b/>
                <w:bCs/>
                <w:sz w:val="16"/>
                <w:szCs w:val="16"/>
              </w:rPr>
              <w:t xml:space="preserve">$15.00: </w:t>
            </w:r>
            <w:r w:rsidR="00683DB5" w:rsidRPr="00EC571F">
              <w:rPr>
                <w:rFonts w:ascii="Arial" w:hAnsi="Arial" w:cs="Arial"/>
                <w:sz w:val="16"/>
                <w:szCs w:val="16"/>
              </w:rPr>
              <w:t>State of Hawaii</w:t>
            </w:r>
          </w:p>
          <w:p w14:paraId="5C7A6EB9" w14:textId="5794C8AD" w:rsidR="00683DB5" w:rsidRPr="00EC571F" w:rsidRDefault="00FF30E1" w:rsidP="00683DB5">
            <w:pPr>
              <w:pStyle w:val="NormalWeb"/>
              <w:spacing w:before="0" w:beforeAutospacing="0" w:after="0" w:afterAutospacing="0"/>
              <w:rPr>
                <w:rFonts w:ascii="Arial" w:hAnsi="Arial" w:cs="Arial"/>
                <w:sz w:val="16"/>
                <w:szCs w:val="16"/>
              </w:rPr>
            </w:pPr>
            <w:r>
              <w:rPr>
                <w:rFonts w:ascii="Arial" w:hAnsi="Arial" w:cs="Arial"/>
                <w:b/>
                <w:bCs/>
                <w:sz w:val="16"/>
                <w:szCs w:val="16"/>
              </w:rPr>
              <w:t xml:space="preserve">   </w:t>
            </w:r>
            <w:r w:rsidR="00683DB5" w:rsidRPr="00EC571F">
              <w:rPr>
                <w:rFonts w:ascii="Arial" w:hAnsi="Arial" w:cs="Arial"/>
                <w:b/>
                <w:bCs/>
                <w:sz w:val="16"/>
                <w:szCs w:val="16"/>
              </w:rPr>
              <w:t xml:space="preserve">$18.00: </w:t>
            </w:r>
            <w:r w:rsidR="00683DB5" w:rsidRPr="00EC571F">
              <w:rPr>
                <w:rFonts w:ascii="Arial" w:hAnsi="Arial" w:cs="Arial"/>
                <w:sz w:val="16"/>
                <w:szCs w:val="16"/>
              </w:rPr>
              <w:t>NYC Boroughs (Bronx, Brooklyn, Manhattan, Queens &amp; Staten Island)</w:t>
            </w:r>
          </w:p>
          <w:p w14:paraId="5FF68765" w14:textId="77777777" w:rsidR="00FB4C0C" w:rsidRPr="00EC571F" w:rsidRDefault="00FB4C0C" w:rsidP="00FB4C0C">
            <w:pPr>
              <w:suppressAutoHyphens/>
              <w:contextualSpacing/>
              <w:rPr>
                <w:rFonts w:ascii="Arial" w:hAnsi="Arial" w:cs="Arial"/>
                <w:sz w:val="16"/>
                <w:szCs w:val="16"/>
              </w:rPr>
            </w:pPr>
          </w:p>
        </w:tc>
      </w:tr>
      <w:tr w:rsidR="00FB4C0C" w14:paraId="1A879E9E" w14:textId="77777777" w:rsidTr="00FB4C0C">
        <w:trPr>
          <w:trHeight w:val="5029"/>
        </w:trPr>
        <w:tc>
          <w:tcPr>
            <w:tcW w:w="12325" w:type="dxa"/>
            <w:tcBorders>
              <w:top w:val="single" w:sz="24" w:space="0" w:color="00703C"/>
            </w:tcBorders>
          </w:tcPr>
          <w:p w14:paraId="337AE9B4" w14:textId="77777777" w:rsidR="00FB4C0C" w:rsidRPr="00EC571F" w:rsidRDefault="00FB4C0C" w:rsidP="00FB4C0C">
            <w:pPr>
              <w:rPr>
                <w:rFonts w:ascii="Arial" w:hAnsi="Arial" w:cs="Arial"/>
                <w:b/>
                <w:bCs/>
                <w:color w:val="00703C"/>
              </w:rPr>
            </w:pPr>
            <w:r w:rsidRPr="00EC571F">
              <w:rPr>
                <w:rFonts w:ascii="Arial" w:hAnsi="Arial" w:cs="Arial"/>
                <w:b/>
                <w:bCs/>
                <w:color w:val="00703C"/>
              </w:rPr>
              <w:t>Terms &amp; Conditions</w:t>
            </w:r>
          </w:p>
          <w:p w14:paraId="0D646461" w14:textId="77777777" w:rsidR="00FB4C0C" w:rsidRPr="00EC571F" w:rsidRDefault="00FB4C0C" w:rsidP="00FB4C0C">
            <w:pPr>
              <w:rPr>
                <w:rFonts w:ascii="Arial" w:hAnsi="Arial" w:cs="Arial"/>
                <w:color w:val="00703C"/>
              </w:rPr>
            </w:pPr>
          </w:p>
          <w:p w14:paraId="5F6B8360" w14:textId="77777777" w:rsidR="00FB4C0C" w:rsidRPr="00EC571F" w:rsidRDefault="00FB4C0C" w:rsidP="00FF30E1">
            <w:pPr>
              <w:tabs>
                <w:tab w:val="left" w:pos="11397"/>
              </w:tabs>
              <w:suppressAutoHyphens/>
              <w:ind w:left="147" w:right="423"/>
              <w:contextualSpacing/>
              <w:jc w:val="both"/>
              <w:rPr>
                <w:rFonts w:ascii="Arial" w:hAnsi="Arial" w:cs="Arial"/>
                <w:bCs/>
                <w:sz w:val="16"/>
                <w:szCs w:val="16"/>
              </w:rPr>
            </w:pPr>
            <w:r w:rsidRPr="00EC571F">
              <w:rPr>
                <w:rFonts w:ascii="Arial" w:hAnsi="Arial" w:cs="Arial"/>
                <w:b/>
                <w:bCs/>
                <w:sz w:val="16"/>
                <w:szCs w:val="16"/>
              </w:rPr>
              <w:t>Daily Rates:</w:t>
            </w:r>
            <w:r w:rsidRPr="00EC571F">
              <w:rPr>
                <w:rFonts w:ascii="Arial" w:hAnsi="Arial" w:cs="Arial"/>
                <w:bCs/>
                <w:sz w:val="16"/>
                <w:szCs w:val="16"/>
              </w:rPr>
              <w:t xml:space="preserve"> Based on a 24-hour billing cycle.  For Standard Cargo Vans (exclusive of High Roof and specialty Cargo Vans) and ½ Ton Pick-up Trucks, the weekly rate will be calculated at </w:t>
            </w:r>
            <w:r w:rsidRPr="00EC571F">
              <w:rPr>
                <w:rFonts w:ascii="Arial" w:hAnsi="Arial" w:cs="Arial"/>
                <w:b/>
                <w:bCs/>
                <w:sz w:val="16"/>
                <w:szCs w:val="16"/>
                <w:u w:val="single"/>
              </w:rPr>
              <w:t>6</w:t>
            </w:r>
            <w:r w:rsidRPr="00EC571F">
              <w:rPr>
                <w:rFonts w:ascii="Arial" w:hAnsi="Arial" w:cs="Arial"/>
                <w:bCs/>
                <w:sz w:val="16"/>
                <w:szCs w:val="16"/>
              </w:rPr>
              <w:t xml:space="preserve"> times the daily rate; for rentals of twenty-four through thirty-one consecutive days, the rate will be a monthly rate calculated at </w:t>
            </w:r>
            <w:r w:rsidRPr="00EC571F">
              <w:rPr>
                <w:rFonts w:ascii="Arial" w:hAnsi="Arial" w:cs="Arial"/>
                <w:b/>
                <w:bCs/>
                <w:sz w:val="16"/>
                <w:szCs w:val="16"/>
                <w:u w:val="single"/>
              </w:rPr>
              <w:t>4</w:t>
            </w:r>
            <w:r w:rsidRPr="00EC571F">
              <w:rPr>
                <w:rFonts w:ascii="Arial" w:hAnsi="Arial" w:cs="Arial"/>
                <w:bCs/>
                <w:sz w:val="16"/>
                <w:szCs w:val="16"/>
              </w:rPr>
              <w:t xml:space="preserve"> times the weekly rate. For all other truck vehicle classes, the weekly rate will be calculated at </w:t>
            </w:r>
            <w:r w:rsidRPr="00EC571F">
              <w:rPr>
                <w:rFonts w:ascii="Arial" w:hAnsi="Arial" w:cs="Arial"/>
                <w:b/>
                <w:bCs/>
                <w:sz w:val="16"/>
                <w:szCs w:val="16"/>
                <w:u w:val="single"/>
              </w:rPr>
              <w:t>5</w:t>
            </w:r>
            <w:r w:rsidRPr="00EC571F">
              <w:rPr>
                <w:rFonts w:ascii="Arial" w:hAnsi="Arial" w:cs="Arial"/>
                <w:bCs/>
                <w:sz w:val="16"/>
                <w:szCs w:val="16"/>
              </w:rPr>
              <w:t xml:space="preserve"> times the daily rate; for rentals of twenty-four through thirty-one consecutive days, the rate will be a monthly rate calculated at </w:t>
            </w:r>
            <w:r w:rsidRPr="00EC571F">
              <w:rPr>
                <w:rFonts w:ascii="Arial" w:hAnsi="Arial" w:cs="Arial"/>
                <w:b/>
                <w:bCs/>
                <w:sz w:val="16"/>
                <w:szCs w:val="16"/>
                <w:u w:val="single"/>
              </w:rPr>
              <w:t>4.333</w:t>
            </w:r>
            <w:r w:rsidRPr="00EC571F">
              <w:rPr>
                <w:rFonts w:ascii="Arial" w:hAnsi="Arial" w:cs="Arial"/>
                <w:bCs/>
                <w:sz w:val="16"/>
                <w:szCs w:val="16"/>
              </w:rPr>
              <w:t xml:space="preserve"> times the weekly rate.</w:t>
            </w:r>
          </w:p>
          <w:p w14:paraId="3A9BE52C" w14:textId="77777777" w:rsidR="00FB4C0C" w:rsidRPr="00EC571F" w:rsidRDefault="00FB4C0C" w:rsidP="00FF30E1">
            <w:pPr>
              <w:tabs>
                <w:tab w:val="left" w:pos="11397"/>
              </w:tabs>
              <w:suppressAutoHyphens/>
              <w:ind w:left="147" w:right="423"/>
              <w:contextualSpacing/>
              <w:jc w:val="both"/>
              <w:rPr>
                <w:rFonts w:ascii="Arial" w:hAnsi="Arial" w:cs="Arial"/>
                <w:b/>
                <w:bCs/>
                <w:color w:val="00703C"/>
                <w:sz w:val="16"/>
                <w:szCs w:val="16"/>
              </w:rPr>
            </w:pPr>
          </w:p>
          <w:p w14:paraId="09B3A706" w14:textId="77777777" w:rsidR="00FB4C0C" w:rsidRPr="00EC571F" w:rsidRDefault="00FB4C0C" w:rsidP="00FF30E1">
            <w:pPr>
              <w:tabs>
                <w:tab w:val="left" w:pos="11397"/>
              </w:tabs>
              <w:suppressAutoHyphens/>
              <w:ind w:left="147" w:right="423"/>
              <w:contextualSpacing/>
              <w:jc w:val="both"/>
              <w:rPr>
                <w:rFonts w:ascii="Arial" w:hAnsi="Arial" w:cs="Arial"/>
                <w:bCs/>
                <w:sz w:val="16"/>
                <w:szCs w:val="16"/>
              </w:rPr>
            </w:pPr>
            <w:r w:rsidRPr="00EC571F">
              <w:rPr>
                <w:rFonts w:ascii="Arial" w:hAnsi="Arial" w:cs="Arial"/>
                <w:b/>
                <w:bCs/>
                <w:sz w:val="16"/>
                <w:szCs w:val="16"/>
              </w:rPr>
              <w:t>Mileage Charges:</w:t>
            </w:r>
            <w:r w:rsidRPr="00EC571F">
              <w:rPr>
                <w:rFonts w:ascii="Arial" w:hAnsi="Arial" w:cs="Arial"/>
                <w:b/>
                <w:bCs/>
                <w:color w:val="00703C"/>
                <w:sz w:val="16"/>
                <w:szCs w:val="16"/>
              </w:rPr>
              <w:t xml:space="preserve"> </w:t>
            </w:r>
            <w:r w:rsidRPr="00EC571F">
              <w:rPr>
                <w:rFonts w:ascii="Arial" w:hAnsi="Arial" w:cs="Arial"/>
                <w:bCs/>
                <w:sz w:val="16"/>
                <w:szCs w:val="16"/>
              </w:rPr>
              <w:t>Base Rental Charges for rentals in the U.S. include free miles as set forth above.  Any additional miles will be charged at the rate set forth above.</w:t>
            </w:r>
          </w:p>
          <w:p w14:paraId="4C1B4315" w14:textId="77777777" w:rsidR="00FB4C0C" w:rsidRPr="00EC571F" w:rsidRDefault="00FB4C0C" w:rsidP="00FF30E1">
            <w:pPr>
              <w:tabs>
                <w:tab w:val="left" w:pos="11397"/>
              </w:tabs>
              <w:suppressAutoHyphens/>
              <w:ind w:left="147" w:right="423"/>
              <w:contextualSpacing/>
              <w:jc w:val="both"/>
              <w:rPr>
                <w:rFonts w:ascii="Arial" w:hAnsi="Arial" w:cs="Arial"/>
                <w:b/>
                <w:bCs/>
                <w:color w:val="00703C"/>
                <w:sz w:val="16"/>
                <w:szCs w:val="16"/>
              </w:rPr>
            </w:pPr>
          </w:p>
          <w:p w14:paraId="4CE9556B" w14:textId="77777777" w:rsidR="00FB4C0C" w:rsidRPr="00EC571F" w:rsidRDefault="00FB4C0C" w:rsidP="00FF30E1">
            <w:pPr>
              <w:tabs>
                <w:tab w:val="left" w:pos="11397"/>
              </w:tabs>
              <w:suppressAutoHyphens/>
              <w:ind w:left="147" w:right="423"/>
              <w:contextualSpacing/>
              <w:jc w:val="both"/>
              <w:rPr>
                <w:rFonts w:ascii="Arial" w:hAnsi="Arial" w:cs="Arial"/>
                <w:bCs/>
                <w:sz w:val="16"/>
                <w:szCs w:val="16"/>
              </w:rPr>
            </w:pPr>
            <w:r w:rsidRPr="00EC571F">
              <w:rPr>
                <w:rFonts w:ascii="Arial" w:hAnsi="Arial" w:cs="Arial"/>
                <w:b/>
                <w:bCs/>
                <w:sz w:val="16"/>
                <w:szCs w:val="16"/>
              </w:rPr>
              <w:t xml:space="preserve">Inspection: </w:t>
            </w:r>
            <w:r w:rsidRPr="00EC571F">
              <w:rPr>
                <w:rFonts w:ascii="Arial" w:hAnsi="Arial" w:cs="Arial"/>
                <w:bCs/>
                <w:sz w:val="16"/>
                <w:szCs w:val="16"/>
              </w:rPr>
              <w:t>Customer agrees to require its Eligible Renters to perform daily visual inspections on rental vehicles including but not limited to the inspection of headlights, running lights, brake lights, and turn signals, the identification and notation of damages and the checking and maintenance of all fluid levels and manufacturer recommended tire pressure.  See Agreement for full details</w:t>
            </w:r>
            <w:r w:rsidR="0063343C" w:rsidRPr="00EC571F">
              <w:rPr>
                <w:rFonts w:ascii="Arial" w:hAnsi="Arial" w:cs="Arial"/>
                <w:bCs/>
                <w:sz w:val="16"/>
                <w:szCs w:val="16"/>
              </w:rPr>
              <w:t>.</w:t>
            </w:r>
          </w:p>
          <w:p w14:paraId="2E7ECD14" w14:textId="77777777" w:rsidR="00FB4C0C" w:rsidRPr="00EC571F" w:rsidRDefault="00FB4C0C" w:rsidP="00FF30E1">
            <w:pPr>
              <w:tabs>
                <w:tab w:val="left" w:pos="11397"/>
              </w:tabs>
              <w:suppressAutoHyphens/>
              <w:ind w:left="147" w:right="423"/>
              <w:contextualSpacing/>
              <w:jc w:val="both"/>
              <w:rPr>
                <w:rFonts w:ascii="Arial" w:hAnsi="Arial" w:cs="Arial"/>
                <w:b/>
                <w:bCs/>
                <w:color w:val="00703C"/>
                <w:sz w:val="16"/>
                <w:szCs w:val="16"/>
              </w:rPr>
            </w:pPr>
          </w:p>
          <w:p w14:paraId="518E3E9F" w14:textId="77777777" w:rsidR="00FB4C0C" w:rsidRPr="00EC571F" w:rsidRDefault="00FB4C0C" w:rsidP="00FF30E1">
            <w:pPr>
              <w:tabs>
                <w:tab w:val="left" w:pos="11397"/>
              </w:tabs>
              <w:suppressAutoHyphens/>
              <w:ind w:left="147" w:right="423"/>
              <w:contextualSpacing/>
              <w:jc w:val="both"/>
              <w:rPr>
                <w:rFonts w:ascii="Arial" w:hAnsi="Arial" w:cs="Arial"/>
                <w:bCs/>
                <w:sz w:val="16"/>
                <w:szCs w:val="16"/>
              </w:rPr>
            </w:pPr>
            <w:r w:rsidRPr="00EC571F">
              <w:rPr>
                <w:rFonts w:ascii="Arial" w:hAnsi="Arial" w:cs="Arial"/>
                <w:b/>
                <w:bCs/>
                <w:sz w:val="16"/>
                <w:szCs w:val="16"/>
              </w:rPr>
              <w:t>Maintenance:</w:t>
            </w:r>
            <w:r w:rsidRPr="00EC571F">
              <w:rPr>
                <w:rFonts w:ascii="Arial" w:hAnsi="Arial" w:cs="Arial"/>
                <w:b/>
                <w:bCs/>
                <w:color w:val="00703C"/>
                <w:sz w:val="16"/>
                <w:szCs w:val="16"/>
              </w:rPr>
              <w:t xml:space="preserve"> </w:t>
            </w:r>
            <w:r w:rsidRPr="00EC571F">
              <w:rPr>
                <w:rFonts w:ascii="Arial" w:hAnsi="Arial" w:cs="Arial"/>
                <w:bCs/>
                <w:sz w:val="16"/>
                <w:szCs w:val="16"/>
              </w:rPr>
              <w:t>Upon three (3) days’ prior notification from EAN or an Affiliate, Customer agrees to make themselves and each vehicle available for the purposes of inspection and/or maintenance every thirty (30) days.  See Agreement for full details.</w:t>
            </w:r>
          </w:p>
          <w:p w14:paraId="5905491B" w14:textId="77777777" w:rsidR="00FB4C0C" w:rsidRPr="00EC571F" w:rsidRDefault="00FB4C0C" w:rsidP="00FF30E1">
            <w:pPr>
              <w:tabs>
                <w:tab w:val="left" w:pos="11397"/>
              </w:tabs>
              <w:suppressAutoHyphens/>
              <w:ind w:left="147" w:right="423"/>
              <w:contextualSpacing/>
              <w:jc w:val="both"/>
              <w:rPr>
                <w:rFonts w:ascii="Arial" w:hAnsi="Arial" w:cs="Arial"/>
                <w:b/>
                <w:bCs/>
                <w:color w:val="00703C"/>
                <w:sz w:val="16"/>
                <w:szCs w:val="16"/>
              </w:rPr>
            </w:pPr>
          </w:p>
          <w:p w14:paraId="3AD26780" w14:textId="77777777" w:rsidR="00FB4C0C" w:rsidRPr="00EC571F" w:rsidRDefault="00FB4C0C" w:rsidP="00FF30E1">
            <w:pPr>
              <w:tabs>
                <w:tab w:val="left" w:pos="11397"/>
              </w:tabs>
              <w:suppressAutoHyphens/>
              <w:ind w:left="147" w:right="423"/>
              <w:contextualSpacing/>
              <w:jc w:val="both"/>
              <w:rPr>
                <w:rFonts w:ascii="Arial" w:hAnsi="Arial" w:cs="Arial"/>
                <w:bCs/>
                <w:sz w:val="16"/>
                <w:szCs w:val="16"/>
              </w:rPr>
            </w:pPr>
            <w:r w:rsidRPr="00EC571F">
              <w:rPr>
                <w:rFonts w:ascii="Arial" w:hAnsi="Arial" w:cs="Arial"/>
                <w:b/>
                <w:bCs/>
                <w:sz w:val="16"/>
                <w:szCs w:val="16"/>
              </w:rPr>
              <w:t xml:space="preserve">Age Requirements: </w:t>
            </w:r>
            <w:r w:rsidRPr="00EC571F">
              <w:rPr>
                <w:rFonts w:ascii="Arial" w:hAnsi="Arial" w:cs="Arial"/>
                <w:bCs/>
                <w:sz w:val="16"/>
                <w:szCs w:val="16"/>
              </w:rPr>
              <w:t>Customer shall be age 2</w:t>
            </w:r>
            <w:r w:rsidR="004E7071" w:rsidRPr="00EC571F">
              <w:rPr>
                <w:rFonts w:ascii="Arial" w:hAnsi="Arial" w:cs="Arial"/>
                <w:bCs/>
                <w:sz w:val="16"/>
                <w:szCs w:val="16"/>
              </w:rPr>
              <w:t>5 or older in order to rent any vehicles not considered “Light Duty” by EAN</w:t>
            </w:r>
            <w:r w:rsidRPr="00EC571F">
              <w:rPr>
                <w:rFonts w:ascii="Arial" w:hAnsi="Arial" w:cs="Arial"/>
                <w:bCs/>
                <w:sz w:val="16"/>
                <w:szCs w:val="16"/>
              </w:rPr>
              <w:t>. Customer shall be age 21 or older to be eligible for Driver Protection Products.</w:t>
            </w:r>
          </w:p>
          <w:p w14:paraId="34D97969" w14:textId="77777777" w:rsidR="00FB4C0C" w:rsidRPr="00EC571F" w:rsidRDefault="00FB4C0C" w:rsidP="00FF30E1">
            <w:pPr>
              <w:tabs>
                <w:tab w:val="left" w:pos="11397"/>
              </w:tabs>
              <w:ind w:left="147" w:right="423"/>
              <w:contextualSpacing/>
              <w:rPr>
                <w:rFonts w:ascii="Arial" w:hAnsi="Arial" w:cs="Arial"/>
                <w:b/>
                <w:bCs/>
                <w:color w:val="00703C"/>
                <w:sz w:val="16"/>
                <w:szCs w:val="16"/>
              </w:rPr>
            </w:pPr>
          </w:p>
          <w:p w14:paraId="161377CE" w14:textId="77777777" w:rsidR="00FB4C0C" w:rsidRPr="00EC571F" w:rsidRDefault="00FB4C0C" w:rsidP="00FF30E1">
            <w:pPr>
              <w:tabs>
                <w:tab w:val="left" w:pos="11397"/>
              </w:tabs>
              <w:ind w:left="147" w:right="423"/>
              <w:contextualSpacing/>
              <w:rPr>
                <w:rFonts w:ascii="Arial" w:hAnsi="Arial" w:cs="Arial"/>
                <w:bCs/>
                <w:sz w:val="16"/>
                <w:szCs w:val="16"/>
              </w:rPr>
            </w:pPr>
            <w:r w:rsidRPr="00EC571F">
              <w:rPr>
                <w:rFonts w:ascii="Arial" w:hAnsi="Arial" w:cs="Arial"/>
                <w:b/>
                <w:bCs/>
                <w:sz w:val="16"/>
                <w:szCs w:val="16"/>
              </w:rPr>
              <w:t>Exclusions:</w:t>
            </w:r>
            <w:r w:rsidRPr="00EC571F">
              <w:rPr>
                <w:rFonts w:ascii="Arial" w:hAnsi="Arial" w:cs="Arial"/>
                <w:bCs/>
                <w:sz w:val="16"/>
                <w:szCs w:val="16"/>
              </w:rPr>
              <w:t xml:space="preserve"> Rates do not include applicable taxes, surcharges, refueling, one-way, drop-off, delivery, pickup, mileage, youthful driver or additional driver charges; or, except as set forth below, any optional products or services such as damage waiver (“DW”), or liability protection (“LP”).</w:t>
            </w:r>
          </w:p>
          <w:p w14:paraId="03E7D855" w14:textId="77777777" w:rsidR="00FB4C0C" w:rsidRPr="00EC571F" w:rsidRDefault="00FB4C0C" w:rsidP="00FF30E1">
            <w:pPr>
              <w:tabs>
                <w:tab w:val="left" w:pos="0"/>
                <w:tab w:val="left" w:pos="480"/>
                <w:tab w:val="left" w:pos="600"/>
                <w:tab w:val="left" w:pos="3600"/>
                <w:tab w:val="left" w:pos="7200"/>
                <w:tab w:val="left" w:pos="7320"/>
                <w:tab w:val="left" w:pos="7440"/>
                <w:tab w:val="left" w:pos="7560"/>
                <w:tab w:val="left" w:pos="10320"/>
                <w:tab w:val="left" w:pos="11397"/>
              </w:tabs>
              <w:ind w:left="147" w:right="423"/>
              <w:rPr>
                <w:rFonts w:ascii="Arial" w:hAnsi="Arial" w:cs="Arial"/>
                <w:b/>
                <w:bCs/>
                <w:color w:val="00703C"/>
                <w:sz w:val="16"/>
                <w:szCs w:val="16"/>
              </w:rPr>
            </w:pPr>
          </w:p>
          <w:p w14:paraId="7062D4B9" w14:textId="7D02730E" w:rsidR="00FB4C0C" w:rsidRPr="00FB4C0C" w:rsidRDefault="00FB4C0C" w:rsidP="00FF30E1">
            <w:pPr>
              <w:tabs>
                <w:tab w:val="left" w:pos="0"/>
                <w:tab w:val="left" w:pos="480"/>
                <w:tab w:val="left" w:pos="600"/>
                <w:tab w:val="left" w:pos="3600"/>
                <w:tab w:val="left" w:pos="7200"/>
                <w:tab w:val="left" w:pos="7320"/>
                <w:tab w:val="left" w:pos="7440"/>
                <w:tab w:val="left" w:pos="7560"/>
                <w:tab w:val="left" w:pos="10320"/>
                <w:tab w:val="left" w:pos="11397"/>
              </w:tabs>
              <w:ind w:left="147" w:right="423"/>
              <w:rPr>
                <w:rFonts w:ascii="Century Gothic" w:hAnsi="Century Gothic"/>
                <w:bCs/>
                <w:sz w:val="16"/>
                <w:szCs w:val="16"/>
              </w:rPr>
            </w:pPr>
            <w:r w:rsidRPr="00EC571F">
              <w:rPr>
                <w:rFonts w:ascii="Arial" w:hAnsi="Arial" w:cs="Arial"/>
                <w:b/>
                <w:bCs/>
                <w:sz w:val="16"/>
                <w:szCs w:val="16"/>
              </w:rPr>
              <w:t>Protection Products:</w:t>
            </w:r>
            <w:r w:rsidRPr="00EC571F">
              <w:rPr>
                <w:rFonts w:ascii="Arial" w:hAnsi="Arial" w:cs="Arial"/>
                <w:color w:val="00703C"/>
                <w:sz w:val="16"/>
                <w:szCs w:val="16"/>
              </w:rPr>
              <w:t xml:space="preserve"> </w:t>
            </w:r>
            <w:r w:rsidR="00E37A18" w:rsidRPr="00D11904">
              <w:rPr>
                <w:rFonts w:ascii="Arial" w:hAnsi="Arial" w:cs="Arial"/>
                <w:bCs/>
                <w:sz w:val="16"/>
                <w:szCs w:val="16"/>
              </w:rPr>
              <w:t xml:space="preserve"> Damage Waiver includes DW ($1,000 deductible); </w:t>
            </w:r>
            <w:r w:rsidRPr="00EC571F">
              <w:rPr>
                <w:rFonts w:ascii="Arial" w:hAnsi="Arial" w:cs="Arial"/>
                <w:bCs/>
                <w:sz w:val="16"/>
                <w:szCs w:val="16"/>
              </w:rPr>
              <w:t xml:space="preserve">Liability </w:t>
            </w:r>
            <w:r w:rsidR="00E37A18">
              <w:rPr>
                <w:rFonts w:ascii="Arial" w:hAnsi="Arial" w:cs="Arial"/>
                <w:bCs/>
                <w:sz w:val="16"/>
                <w:szCs w:val="16"/>
              </w:rPr>
              <w:t xml:space="preserve">is </w:t>
            </w:r>
            <w:r w:rsidRPr="00EC571F">
              <w:rPr>
                <w:rFonts w:ascii="Arial" w:hAnsi="Arial" w:cs="Arial"/>
                <w:bCs/>
                <w:sz w:val="16"/>
                <w:szCs w:val="16"/>
              </w:rPr>
              <w:t>available at an additional cost</w:t>
            </w:r>
            <w:r w:rsidR="0063343C" w:rsidRPr="00EC571F">
              <w:rPr>
                <w:rFonts w:ascii="Arial" w:hAnsi="Arial" w:cs="Arial"/>
                <w:bCs/>
                <w:sz w:val="16"/>
                <w:szCs w:val="16"/>
              </w:rPr>
              <w:t>.</w:t>
            </w:r>
          </w:p>
        </w:tc>
      </w:tr>
    </w:tbl>
    <w:p w14:paraId="5FDCCBF8" w14:textId="77777777" w:rsidR="006E71B7" w:rsidRPr="00FB4C0C" w:rsidRDefault="006E71B7" w:rsidP="006E71B7">
      <w:pPr>
        <w:tabs>
          <w:tab w:val="left" w:pos="4453"/>
        </w:tabs>
        <w:rPr>
          <w:sz w:val="2"/>
          <w:szCs w:val="2"/>
        </w:rPr>
      </w:pPr>
    </w:p>
    <w:sectPr w:rsidR="006E71B7" w:rsidRPr="00FB4C0C" w:rsidSect="00C96B3B">
      <w:headerReference w:type="default" r:id="rId9"/>
      <w:footerReference w:type="default" r:id="rId10"/>
      <w:pgSz w:w="12240" w:h="15840" w:code="1"/>
      <w:pgMar w:top="144" w:right="720" w:bottom="144"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65819" w14:textId="77777777" w:rsidR="00C923D4" w:rsidRDefault="00C923D4" w:rsidP="009B5DD2">
      <w:pPr>
        <w:spacing w:after="0" w:line="240" w:lineRule="auto"/>
      </w:pPr>
      <w:r>
        <w:separator/>
      </w:r>
    </w:p>
  </w:endnote>
  <w:endnote w:type="continuationSeparator" w:id="0">
    <w:p w14:paraId="06DBF672" w14:textId="77777777" w:rsidR="00C923D4" w:rsidRDefault="00C923D4" w:rsidP="009B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DBA9" w14:textId="77777777" w:rsidR="00595B77" w:rsidRDefault="000074DC">
    <w:pPr>
      <w:pStyle w:val="Footer"/>
    </w:pPr>
    <w:r>
      <w:rPr>
        <w:noProof/>
        <w:lang w:eastAsia="en-US"/>
      </w:rPr>
      <mc:AlternateContent>
        <mc:Choice Requires="wps">
          <w:drawing>
            <wp:anchor distT="45720" distB="45720" distL="114300" distR="114300" simplePos="0" relativeHeight="251661312" behindDoc="0" locked="0" layoutInCell="1" allowOverlap="1" wp14:anchorId="0F86D3E9" wp14:editId="427C523C">
              <wp:simplePos x="0" y="0"/>
              <wp:positionH relativeFrom="margin">
                <wp:posOffset>-442777</wp:posOffset>
              </wp:positionH>
              <wp:positionV relativeFrom="margin">
                <wp:posOffset>9373780</wp:posOffset>
              </wp:positionV>
              <wp:extent cx="7743190" cy="170180"/>
              <wp:effectExtent l="0" t="0" r="0" b="12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190" cy="170180"/>
                      </a:xfrm>
                      <a:prstGeom prst="rect">
                        <a:avLst/>
                      </a:prstGeom>
                      <a:noFill/>
                      <a:ln w="9525">
                        <a:noFill/>
                        <a:miter lim="800000"/>
                        <a:headEnd/>
                        <a:tailEnd/>
                      </a:ln>
                    </wps:spPr>
                    <wps:txbx>
                      <w:txbxContent>
                        <w:p w14:paraId="05247356" w14:textId="77777777" w:rsidR="005B1B7D" w:rsidRPr="000074DC" w:rsidRDefault="005B1B7D" w:rsidP="005B1B7D">
                          <w:pPr>
                            <w:jc w:val="center"/>
                            <w:rPr>
                              <w:rFonts w:ascii="Century Gothic" w:hAnsi="Century Gothic"/>
                              <w:color w:val="FFFFFF" w:themeColor="background1"/>
                              <w:sz w:val="8"/>
                              <w:szCs w:val="8"/>
                            </w:rPr>
                          </w:pPr>
                          <w:r w:rsidRPr="000074DC">
                            <w:rPr>
                              <w:rFonts w:ascii="Century Gothic" w:hAnsi="Century Gothic"/>
                              <w:color w:val="FFFFFF" w:themeColor="background1"/>
                              <w:sz w:val="8"/>
                              <w:szCs w:val="8"/>
                            </w:rPr>
                            <w:t>Enterprise and the “e” logo are registered trademarks of Enterprise Holdings, Inc. © 2021 Enterprise Holdings, Inc. All other marks are the property of their respective owners. SC-2021 KLB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86D3E9" id="_x0000_t202" coordsize="21600,21600" o:spt="202" path="m,l,21600r21600,l21600,xe">
              <v:stroke joinstyle="miter"/>
              <v:path gradientshapeok="t" o:connecttype="rect"/>
            </v:shapetype>
            <v:shape id="_x0000_s1027" type="#_x0000_t202" style="position:absolute;margin-left:-34.85pt;margin-top:738.1pt;width:609.7pt;height:1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" filled="f" stroked="f">
              <v:textbox>
                <w:txbxContent>
                  <w:p w14:paraId="05247356" w14:textId="77777777" w:rsidR="005B1B7D" w:rsidRPr="000074DC" w:rsidRDefault="005B1B7D" w:rsidP="005B1B7D">
                    <w:pPr>
                      <w:jc w:val="center"/>
                      <w:rPr>
                        <w:rFonts w:ascii="Century Gothic" w:hAnsi="Century Gothic"/>
                        <w:color w:val="FFFFFF" w:themeColor="background1"/>
                        <w:sz w:val="8"/>
                        <w:szCs w:val="8"/>
                      </w:rPr>
                    </w:pPr>
                    <w:r w:rsidRPr="000074DC">
                      <w:rPr>
                        <w:rFonts w:ascii="Century Gothic" w:hAnsi="Century Gothic"/>
                        <w:color w:val="FFFFFF" w:themeColor="background1"/>
                        <w:sz w:val="8"/>
                        <w:szCs w:val="8"/>
                      </w:rPr>
                      <w:t>Enterprise and the “e” logo are registered trademarks of Enterprise Holdings, Inc. © 2021 Enterprise Holdings, Inc. All other marks are the property of their respective owners. SC-2021 KLB</w:t>
                    </w:r>
                  </w:p>
                </w:txbxContent>
              </v:textbox>
              <w10:wrap type="square" anchorx="margin" anchory="margin"/>
            </v:shape>
          </w:pict>
        </mc:Fallback>
      </mc:AlternateContent>
    </w:r>
    <w:r w:rsidRPr="009B5DD2">
      <w:rPr>
        <w:noProof/>
        <w:lang w:eastAsia="en-US"/>
      </w:rPr>
      <w:drawing>
        <wp:anchor distT="0" distB="0" distL="114300" distR="114300" simplePos="0" relativeHeight="251659262" behindDoc="0" locked="0" layoutInCell="1" allowOverlap="1" wp14:anchorId="366B914D" wp14:editId="57B21814">
          <wp:simplePos x="0" y="0"/>
          <wp:positionH relativeFrom="column">
            <wp:posOffset>-571500</wp:posOffset>
          </wp:positionH>
          <wp:positionV relativeFrom="paragraph">
            <wp:posOffset>16873</wp:posOffset>
          </wp:positionV>
          <wp:extent cx="7913370" cy="217714"/>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3370" cy="21771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9C841" w14:textId="77777777" w:rsidR="00C923D4" w:rsidRDefault="00C923D4" w:rsidP="009B5DD2">
      <w:pPr>
        <w:spacing w:after="0" w:line="240" w:lineRule="auto"/>
      </w:pPr>
      <w:r>
        <w:separator/>
      </w:r>
    </w:p>
  </w:footnote>
  <w:footnote w:type="continuationSeparator" w:id="0">
    <w:p w14:paraId="7BC16BC3" w14:textId="77777777" w:rsidR="00C923D4" w:rsidRDefault="00C923D4" w:rsidP="009B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6779F" w14:textId="08BDECA6" w:rsidR="00F04C28" w:rsidRPr="00F245AF" w:rsidRDefault="007715DC" w:rsidP="009C3638">
    <w:pPr>
      <w:pStyle w:val="Header"/>
      <w:ind w:left="-630" w:firstLine="90"/>
      <w:jc w:val="both"/>
      <w:rPr>
        <w:rFonts w:ascii="Century Gothic" w:hAnsi="Century Gothic"/>
        <w:color w:val="00703C"/>
        <w:sz w:val="28"/>
        <w:szCs w:val="28"/>
      </w:rPr>
    </w:pPr>
    <w:r w:rsidRPr="00F245AF">
      <w:rPr>
        <w:noProof/>
        <w:sz w:val="28"/>
        <w:szCs w:val="28"/>
        <w:lang w:eastAsia="en-US"/>
      </w:rPr>
      <w:drawing>
        <wp:anchor distT="0" distB="0" distL="114300" distR="114300" simplePos="0" relativeHeight="251662336" behindDoc="0" locked="0" layoutInCell="1" allowOverlap="1" wp14:anchorId="3633AB10" wp14:editId="773658E1">
          <wp:simplePos x="0" y="0"/>
          <wp:positionH relativeFrom="column">
            <wp:posOffset>5824156</wp:posOffset>
          </wp:positionH>
          <wp:positionV relativeFrom="paragraph">
            <wp:posOffset>-126365</wp:posOffset>
          </wp:positionV>
          <wp:extent cx="1018365" cy="431534"/>
          <wp:effectExtent l="0" t="0" r="0" b="6985"/>
          <wp:wrapNone/>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8365" cy="4315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7BF" w:rsidRPr="00F245AF">
      <w:rPr>
        <w:noProof/>
        <w:sz w:val="28"/>
        <w:szCs w:val="28"/>
        <w:lang w:eastAsia="en-US"/>
      </w:rPr>
      <mc:AlternateContent>
        <mc:Choice Requires="wps">
          <w:drawing>
            <wp:anchor distT="45720" distB="45720" distL="114300" distR="114300" simplePos="0" relativeHeight="251664384" behindDoc="0" locked="0" layoutInCell="1" allowOverlap="1" wp14:anchorId="7AFCA84B" wp14:editId="49D14F7D">
              <wp:simplePos x="0" y="0"/>
              <wp:positionH relativeFrom="column">
                <wp:posOffset>-457200</wp:posOffset>
              </wp:positionH>
              <wp:positionV relativeFrom="paragraph">
                <wp:posOffset>370205</wp:posOffset>
              </wp:positionV>
              <wp:extent cx="7860030" cy="32956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0030" cy="329565"/>
                      </a:xfrm>
                      <a:prstGeom prst="rect">
                        <a:avLst/>
                      </a:prstGeom>
                      <a:noFill/>
                      <a:ln w="9525">
                        <a:noFill/>
                        <a:miter lim="800000"/>
                        <a:headEnd/>
                        <a:tailEnd/>
                      </a:ln>
                    </wps:spPr>
                    <wps:txbx>
                      <w:txbxContent>
                        <w:p w14:paraId="6652A0B0" w14:textId="7427CDF5" w:rsidR="00F04C28" w:rsidRPr="008B0379" w:rsidRDefault="00FE26E8" w:rsidP="00F04C28">
                          <w:pPr>
                            <w:rPr>
                              <w:rFonts w:ascii="Century Gothic" w:hAnsi="Century Gothic"/>
                              <w:sz w:val="28"/>
                              <w:szCs w:val="28"/>
                            </w:rPr>
                          </w:pPr>
                          <w:r w:rsidRPr="00FE26E8">
                            <w:rPr>
                              <w:rFonts w:ascii="Century Gothic" w:hAnsi="Century Gothic"/>
                              <w:color w:val="FFFFFF"/>
                              <w:w w:val="115"/>
                              <w:sz w:val="28"/>
                              <w:szCs w:val="28"/>
                            </w:rPr>
                            <w:t>University of Wyoming</w:t>
                          </w:r>
                          <w:r w:rsidR="00F04C28" w:rsidRPr="008B0379">
                            <w:rPr>
                              <w:rFonts w:ascii="Century Gothic" w:hAnsi="Century Gothic"/>
                              <w:color w:val="FFFFFF"/>
                              <w:w w:val="115"/>
                              <w:sz w:val="28"/>
                              <w:szCs w:val="28"/>
                            </w:rPr>
                            <w:tab/>
                          </w:r>
                          <w:r w:rsidR="00F04C28" w:rsidRPr="008B0379">
                            <w:rPr>
                              <w:rFonts w:ascii="Century Gothic" w:hAnsi="Century Gothic"/>
                              <w:color w:val="FFFFFF"/>
                              <w:w w:val="115"/>
                              <w:sz w:val="28"/>
                              <w:szCs w:val="28"/>
                            </w:rPr>
                            <w:tab/>
                          </w:r>
                          <w:r w:rsidR="00F04C28" w:rsidRPr="008B0379">
                            <w:rPr>
                              <w:rFonts w:ascii="Century Gothic" w:hAnsi="Century Gothic"/>
                              <w:color w:val="FFFFFF"/>
                              <w:w w:val="115"/>
                              <w:sz w:val="28"/>
                              <w:szCs w:val="28"/>
                            </w:rPr>
                            <w:tab/>
                          </w:r>
                          <w:r w:rsidR="00F04C28" w:rsidRPr="008B0379">
                            <w:rPr>
                              <w:rFonts w:ascii="Century Gothic" w:hAnsi="Century Gothic"/>
                              <w:color w:val="FFFFFF"/>
                              <w:w w:val="115"/>
                              <w:sz w:val="28"/>
                              <w:szCs w:val="28"/>
                            </w:rPr>
                            <w:tab/>
                          </w:r>
                          <w:r w:rsidR="008B0379">
                            <w:rPr>
                              <w:rFonts w:ascii="Century Gothic" w:hAnsi="Century Gothic"/>
                              <w:color w:val="FFFFFF"/>
                              <w:w w:val="115"/>
                              <w:sz w:val="28"/>
                              <w:szCs w:val="28"/>
                            </w:rPr>
                            <w:t xml:space="preserve">            </w:t>
                          </w:r>
                          <w:r w:rsidR="00E15473">
                            <w:rPr>
                              <w:rFonts w:ascii="Century Gothic" w:hAnsi="Century Gothic"/>
                              <w:color w:val="FFFFFF"/>
                              <w:w w:val="115"/>
                              <w:sz w:val="28"/>
                              <w:szCs w:val="28"/>
                            </w:rPr>
                            <w:t xml:space="preserve">       </w:t>
                          </w:r>
                          <w:r w:rsidR="008B0379">
                            <w:rPr>
                              <w:rFonts w:ascii="Century Gothic" w:hAnsi="Century Gothic"/>
                              <w:color w:val="FFFFFF"/>
                              <w:w w:val="115"/>
                              <w:sz w:val="28"/>
                              <w:szCs w:val="28"/>
                            </w:rPr>
                            <w:t xml:space="preserve"> </w:t>
                          </w:r>
                          <w:r w:rsidR="00F04C28" w:rsidRPr="008B0379">
                            <w:rPr>
                              <w:rFonts w:ascii="Century Gothic" w:hAnsi="Century Gothic"/>
                              <w:color w:val="FFFFFF"/>
                              <w:w w:val="115"/>
                              <w:sz w:val="28"/>
                              <w:szCs w:val="28"/>
                            </w:rPr>
                            <w:t xml:space="preserve"> Account #: </w:t>
                          </w:r>
                          <w:r w:rsidR="00E15473" w:rsidRPr="00FE26E8">
                            <w:rPr>
                              <w:rFonts w:ascii="Century Gothic" w:hAnsi="Century Gothic"/>
                              <w:color w:val="FFFFFF"/>
                              <w:w w:val="115"/>
                              <w:sz w:val="28"/>
                              <w:szCs w:val="28"/>
                            </w:rPr>
                            <w:t>XZ12461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FCA84B" id="_x0000_t202" coordsize="21600,21600" o:spt="202" path="m,l,21600r21600,l21600,xe">
              <v:stroke joinstyle="miter"/>
              <v:path gradientshapeok="t" o:connecttype="rect"/>
            </v:shapetype>
            <v:shape id="Text Box 2" o:spid="_x0000_s1026" type="#_x0000_t202" style="position:absolute;left:0;text-align:left;margin-left:-36pt;margin-top:29.15pt;width:618.9pt;height:25.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" filled="f" stroked="f">
              <v:textbox>
                <w:txbxContent>
                  <w:p w14:paraId="6652A0B0" w14:textId="7427CDF5" w:rsidR="00F04C28" w:rsidRPr="008B0379" w:rsidRDefault="00FE26E8" w:rsidP="00F04C28">
                    <w:pPr>
                      <w:rPr>
                        <w:rFonts w:ascii="Century Gothic" w:hAnsi="Century Gothic"/>
                        <w:sz w:val="28"/>
                        <w:szCs w:val="28"/>
                      </w:rPr>
                    </w:pPr>
                    <w:r w:rsidRPr="00FE26E8">
                      <w:rPr>
                        <w:rFonts w:ascii="Century Gothic" w:hAnsi="Century Gothic"/>
                        <w:color w:val="FFFFFF"/>
                        <w:w w:val="115"/>
                        <w:sz w:val="28"/>
                        <w:szCs w:val="28"/>
                      </w:rPr>
                      <w:t>University of Wyoming</w:t>
                    </w:r>
                    <w:r w:rsidR="00F04C28" w:rsidRPr="008B0379">
                      <w:rPr>
                        <w:rFonts w:ascii="Century Gothic" w:hAnsi="Century Gothic"/>
                        <w:color w:val="FFFFFF"/>
                        <w:w w:val="115"/>
                        <w:sz w:val="28"/>
                        <w:szCs w:val="28"/>
                      </w:rPr>
                      <w:tab/>
                    </w:r>
                    <w:r w:rsidR="00F04C28" w:rsidRPr="008B0379">
                      <w:rPr>
                        <w:rFonts w:ascii="Century Gothic" w:hAnsi="Century Gothic"/>
                        <w:color w:val="FFFFFF"/>
                        <w:w w:val="115"/>
                        <w:sz w:val="28"/>
                        <w:szCs w:val="28"/>
                      </w:rPr>
                      <w:tab/>
                    </w:r>
                    <w:r w:rsidR="00F04C28" w:rsidRPr="008B0379">
                      <w:rPr>
                        <w:rFonts w:ascii="Century Gothic" w:hAnsi="Century Gothic"/>
                        <w:color w:val="FFFFFF"/>
                        <w:w w:val="115"/>
                        <w:sz w:val="28"/>
                        <w:szCs w:val="28"/>
                      </w:rPr>
                      <w:tab/>
                    </w:r>
                    <w:r w:rsidR="00F04C28" w:rsidRPr="008B0379">
                      <w:rPr>
                        <w:rFonts w:ascii="Century Gothic" w:hAnsi="Century Gothic"/>
                        <w:color w:val="FFFFFF"/>
                        <w:w w:val="115"/>
                        <w:sz w:val="28"/>
                        <w:szCs w:val="28"/>
                      </w:rPr>
                      <w:tab/>
                    </w:r>
                    <w:r w:rsidR="008B0379">
                      <w:rPr>
                        <w:rFonts w:ascii="Century Gothic" w:hAnsi="Century Gothic"/>
                        <w:color w:val="FFFFFF"/>
                        <w:w w:val="115"/>
                        <w:sz w:val="28"/>
                        <w:szCs w:val="28"/>
                      </w:rPr>
                      <w:t xml:space="preserve">            </w:t>
                    </w:r>
                    <w:r w:rsidR="00E15473">
                      <w:rPr>
                        <w:rFonts w:ascii="Century Gothic" w:hAnsi="Century Gothic"/>
                        <w:color w:val="FFFFFF"/>
                        <w:w w:val="115"/>
                        <w:sz w:val="28"/>
                        <w:szCs w:val="28"/>
                      </w:rPr>
                      <w:t xml:space="preserve">       </w:t>
                    </w:r>
                    <w:r w:rsidR="008B0379">
                      <w:rPr>
                        <w:rFonts w:ascii="Century Gothic" w:hAnsi="Century Gothic"/>
                        <w:color w:val="FFFFFF"/>
                        <w:w w:val="115"/>
                        <w:sz w:val="28"/>
                        <w:szCs w:val="28"/>
                      </w:rPr>
                      <w:t xml:space="preserve"> </w:t>
                    </w:r>
                    <w:r w:rsidR="00F04C28" w:rsidRPr="008B0379">
                      <w:rPr>
                        <w:rFonts w:ascii="Century Gothic" w:hAnsi="Century Gothic"/>
                        <w:color w:val="FFFFFF"/>
                        <w:w w:val="115"/>
                        <w:sz w:val="28"/>
                        <w:szCs w:val="28"/>
                      </w:rPr>
                      <w:t xml:space="preserve"> Account #: </w:t>
                    </w:r>
                    <w:r w:rsidR="00E15473" w:rsidRPr="00FE26E8">
                      <w:rPr>
                        <w:rFonts w:ascii="Century Gothic" w:hAnsi="Century Gothic"/>
                        <w:color w:val="FFFFFF"/>
                        <w:w w:val="115"/>
                        <w:sz w:val="28"/>
                        <w:szCs w:val="28"/>
                      </w:rPr>
                      <w:t>XZ12461</w:t>
                    </w:r>
                  </w:p>
                </w:txbxContent>
              </v:textbox>
              <w10:wrap type="square"/>
            </v:shape>
          </w:pict>
        </mc:Fallback>
      </mc:AlternateContent>
    </w:r>
    <w:r w:rsidR="008B0379" w:rsidRPr="00F245AF">
      <w:rPr>
        <w:noProof/>
        <w:sz w:val="28"/>
        <w:szCs w:val="28"/>
        <w:lang w:eastAsia="en-US"/>
      </w:rPr>
      <w:drawing>
        <wp:anchor distT="0" distB="0" distL="114300" distR="114300" simplePos="0" relativeHeight="251660287" behindDoc="0" locked="0" layoutInCell="1" allowOverlap="1" wp14:anchorId="7DE34D31" wp14:editId="14154864">
          <wp:simplePos x="0" y="0"/>
          <wp:positionH relativeFrom="column">
            <wp:posOffset>-457200</wp:posOffset>
          </wp:positionH>
          <wp:positionV relativeFrom="paragraph">
            <wp:posOffset>350520</wp:posOffset>
          </wp:positionV>
          <wp:extent cx="7929245" cy="3471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7957" cy="3545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5AF" w:rsidRPr="00F245AF">
      <w:rPr>
        <w:rFonts w:ascii="Century Gothic" w:hAnsi="Century Gothic"/>
        <w:color w:val="00703C"/>
        <w:sz w:val="28"/>
        <w:szCs w:val="28"/>
      </w:rPr>
      <w:t xml:space="preserve">E&amp;I </w:t>
    </w:r>
    <w:r w:rsidR="00B31AB8" w:rsidRPr="00F245AF">
      <w:rPr>
        <w:rFonts w:ascii="Century Gothic" w:hAnsi="Century Gothic"/>
        <w:color w:val="00703C"/>
        <w:sz w:val="28"/>
        <w:szCs w:val="28"/>
      </w:rPr>
      <w:t>Truck</w:t>
    </w:r>
    <w:r w:rsidR="009B5DD2" w:rsidRPr="00F245AF">
      <w:rPr>
        <w:rFonts w:ascii="Century Gothic" w:hAnsi="Century Gothic"/>
        <w:color w:val="00703C"/>
        <w:sz w:val="28"/>
        <w:szCs w:val="28"/>
      </w:rPr>
      <w:t xml:space="preserve"> Rental Program</w:t>
    </w:r>
    <w:r w:rsidR="00B477FF">
      <w:rPr>
        <w:rFonts w:ascii="Century Gothic" w:hAnsi="Century Gothic"/>
        <w:color w:val="00703C"/>
        <w:sz w:val="28"/>
        <w:szCs w:val="28"/>
      </w:rPr>
      <w:t xml:space="preserve"> (</w:t>
    </w:r>
    <w:r w:rsidR="00624D6C">
      <w:rPr>
        <w:rFonts w:ascii="Century Gothic" w:hAnsi="Century Gothic"/>
        <w:color w:val="00703C"/>
        <w:sz w:val="28"/>
        <w:szCs w:val="28"/>
      </w:rPr>
      <w:t>C</w:t>
    </w:r>
    <w:r w:rsidR="00B477FF">
      <w:rPr>
        <w:rFonts w:ascii="Century Gothic" w:hAnsi="Century Gothic"/>
        <w:color w:val="00703C"/>
        <w:sz w:val="28"/>
        <w:szCs w:val="28"/>
      </w:rPr>
      <w:t>)</w:t>
    </w:r>
    <w:r w:rsidR="009C3638" w:rsidRPr="00F245AF">
      <w:rPr>
        <w:rFonts w:ascii="Century Gothic" w:hAnsi="Century Gothic"/>
        <w:color w:val="00703C"/>
        <w:sz w:val="28"/>
        <w:szCs w:val="28"/>
      </w:rPr>
      <w:t xml:space="preserve"> </w:t>
    </w:r>
    <w:r w:rsidR="009B5DD2" w:rsidRPr="00F245AF">
      <w:rPr>
        <w:rFonts w:ascii="Century Gothic" w:hAnsi="Century Gothic"/>
        <w:color w:val="00703C"/>
        <w:sz w:val="28"/>
        <w:szCs w:val="28"/>
      </w:rPr>
      <w:t>Summary</w:t>
    </w:r>
    <w:r w:rsidR="00B477FF">
      <w:rPr>
        <w:rFonts w:ascii="Century Gothic" w:hAnsi="Century Gothic"/>
        <w:color w:val="00703C"/>
        <w:sz w:val="28"/>
        <w:szCs w:val="28"/>
      </w:rPr>
      <w:t xml:space="preserve"> </w:t>
    </w:r>
    <w:r w:rsidR="00707082" w:rsidRPr="00F245AF">
      <w:rPr>
        <w:rFonts w:ascii="Century Gothic" w:hAnsi="Century Gothic"/>
        <w:color w:val="00703C"/>
        <w:sz w:val="28"/>
        <w:szCs w:val="28"/>
      </w:rPr>
      <w:t>–</w:t>
    </w:r>
    <w:r w:rsidR="009B5DD2" w:rsidRPr="00F245AF">
      <w:rPr>
        <w:rFonts w:ascii="Century Gothic" w:hAnsi="Century Gothic"/>
        <w:color w:val="00703C"/>
        <w:sz w:val="28"/>
        <w:szCs w:val="28"/>
      </w:rPr>
      <w:t xml:space="preserve"> </w:t>
    </w:r>
    <w:r w:rsidR="00624D6C">
      <w:rPr>
        <w:rFonts w:ascii="Century Gothic" w:hAnsi="Century Gothic"/>
        <w:color w:val="00703C"/>
        <w:sz w:val="28"/>
        <w:szCs w:val="28"/>
      </w:rPr>
      <w:t xml:space="preserve">DW Only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D4"/>
    <w:rsid w:val="000074DC"/>
    <w:rsid w:val="000B7995"/>
    <w:rsid w:val="00172B21"/>
    <w:rsid w:val="00196244"/>
    <w:rsid w:val="002D1A7C"/>
    <w:rsid w:val="00370DBB"/>
    <w:rsid w:val="00370DD7"/>
    <w:rsid w:val="003A65B2"/>
    <w:rsid w:val="00442804"/>
    <w:rsid w:val="00446416"/>
    <w:rsid w:val="00464A07"/>
    <w:rsid w:val="0048070D"/>
    <w:rsid w:val="004E7071"/>
    <w:rsid w:val="00595B77"/>
    <w:rsid w:val="005B1B7D"/>
    <w:rsid w:val="005C6EF5"/>
    <w:rsid w:val="005E2B08"/>
    <w:rsid w:val="00624D6C"/>
    <w:rsid w:val="0063343C"/>
    <w:rsid w:val="00656B56"/>
    <w:rsid w:val="00683DB5"/>
    <w:rsid w:val="006E71B7"/>
    <w:rsid w:val="00707082"/>
    <w:rsid w:val="007715DC"/>
    <w:rsid w:val="00794E49"/>
    <w:rsid w:val="007D2173"/>
    <w:rsid w:val="008017BF"/>
    <w:rsid w:val="008835E9"/>
    <w:rsid w:val="0089343D"/>
    <w:rsid w:val="008B0379"/>
    <w:rsid w:val="008E7B6D"/>
    <w:rsid w:val="009B5DD2"/>
    <w:rsid w:val="009C3638"/>
    <w:rsid w:val="00A62F52"/>
    <w:rsid w:val="00B31AB8"/>
    <w:rsid w:val="00B477FF"/>
    <w:rsid w:val="00B71834"/>
    <w:rsid w:val="00B77984"/>
    <w:rsid w:val="00B935B4"/>
    <w:rsid w:val="00C923D4"/>
    <w:rsid w:val="00C96B3B"/>
    <w:rsid w:val="00D33C5E"/>
    <w:rsid w:val="00D4381E"/>
    <w:rsid w:val="00E15473"/>
    <w:rsid w:val="00E37A18"/>
    <w:rsid w:val="00EB641D"/>
    <w:rsid w:val="00EC571F"/>
    <w:rsid w:val="00EC6392"/>
    <w:rsid w:val="00F04C28"/>
    <w:rsid w:val="00F245AF"/>
    <w:rsid w:val="00F330E2"/>
    <w:rsid w:val="00F85AED"/>
    <w:rsid w:val="00F92D96"/>
    <w:rsid w:val="00FB2837"/>
    <w:rsid w:val="00FB4C0C"/>
    <w:rsid w:val="00FE26E8"/>
    <w:rsid w:val="00FF3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AC4429"/>
  <w15:chartTrackingRefBased/>
  <w15:docId w15:val="{4CF6E0C1-981E-45D4-8C49-ACDF68D9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DD2"/>
  </w:style>
  <w:style w:type="paragraph" w:styleId="Footer">
    <w:name w:val="footer"/>
    <w:basedOn w:val="Normal"/>
    <w:link w:val="FooterChar"/>
    <w:uiPriority w:val="99"/>
    <w:unhideWhenUsed/>
    <w:rsid w:val="009B5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DD2"/>
  </w:style>
  <w:style w:type="paragraph" w:styleId="BodyText">
    <w:name w:val="Body Text"/>
    <w:basedOn w:val="Normal"/>
    <w:link w:val="BodyTextChar"/>
    <w:uiPriority w:val="1"/>
    <w:qFormat/>
    <w:rsid w:val="00442804"/>
    <w:pPr>
      <w:widowControl w:val="0"/>
      <w:autoSpaceDE w:val="0"/>
      <w:autoSpaceDN w:val="0"/>
      <w:spacing w:after="0" w:line="240" w:lineRule="auto"/>
    </w:pPr>
    <w:rPr>
      <w:rFonts w:ascii="Century Gothic" w:eastAsia="Century Gothic" w:hAnsi="Century Gothic" w:cs="Century Gothic"/>
      <w:sz w:val="16"/>
      <w:szCs w:val="16"/>
      <w:lang w:eastAsia="en-US" w:bidi="en-US"/>
    </w:rPr>
  </w:style>
  <w:style w:type="character" w:customStyle="1" w:styleId="BodyTextChar">
    <w:name w:val="Body Text Char"/>
    <w:basedOn w:val="DefaultParagraphFont"/>
    <w:link w:val="BodyText"/>
    <w:uiPriority w:val="1"/>
    <w:rsid w:val="00442804"/>
    <w:rPr>
      <w:rFonts w:ascii="Century Gothic" w:eastAsia="Century Gothic" w:hAnsi="Century Gothic" w:cs="Century Gothic"/>
      <w:sz w:val="16"/>
      <w:szCs w:val="16"/>
      <w:lang w:eastAsia="en-US" w:bidi="en-US"/>
    </w:rPr>
  </w:style>
  <w:style w:type="table" w:styleId="TableGrid">
    <w:name w:val="Table Grid"/>
    <w:basedOn w:val="TableNormal"/>
    <w:uiPriority w:val="39"/>
    <w:rsid w:val="00442804"/>
    <w:pPr>
      <w:widowControl w:val="0"/>
      <w:autoSpaceDE w:val="0"/>
      <w:autoSpaceDN w:val="0"/>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C6EF5"/>
    <w:rPr>
      <w:sz w:val="16"/>
      <w:szCs w:val="16"/>
    </w:rPr>
  </w:style>
  <w:style w:type="paragraph" w:styleId="CommentText">
    <w:name w:val="annotation text"/>
    <w:basedOn w:val="Normal"/>
    <w:link w:val="CommentTextChar"/>
    <w:semiHidden/>
    <w:unhideWhenUsed/>
    <w:rsid w:val="005C6EF5"/>
    <w:pPr>
      <w:spacing w:line="240" w:lineRule="auto"/>
    </w:pPr>
    <w:rPr>
      <w:sz w:val="20"/>
      <w:szCs w:val="20"/>
    </w:rPr>
  </w:style>
  <w:style w:type="character" w:customStyle="1" w:styleId="CommentTextChar">
    <w:name w:val="Comment Text Char"/>
    <w:basedOn w:val="DefaultParagraphFont"/>
    <w:link w:val="CommentText"/>
    <w:uiPriority w:val="99"/>
    <w:semiHidden/>
    <w:rsid w:val="005C6EF5"/>
    <w:rPr>
      <w:sz w:val="20"/>
      <w:szCs w:val="20"/>
    </w:rPr>
  </w:style>
  <w:style w:type="paragraph" w:styleId="CommentSubject">
    <w:name w:val="annotation subject"/>
    <w:basedOn w:val="CommentText"/>
    <w:next w:val="CommentText"/>
    <w:link w:val="CommentSubjectChar"/>
    <w:uiPriority w:val="99"/>
    <w:semiHidden/>
    <w:unhideWhenUsed/>
    <w:rsid w:val="005C6EF5"/>
    <w:rPr>
      <w:b/>
      <w:bCs/>
    </w:rPr>
  </w:style>
  <w:style w:type="character" w:customStyle="1" w:styleId="CommentSubjectChar">
    <w:name w:val="Comment Subject Char"/>
    <w:basedOn w:val="CommentTextChar"/>
    <w:link w:val="CommentSubject"/>
    <w:uiPriority w:val="99"/>
    <w:semiHidden/>
    <w:rsid w:val="005C6EF5"/>
    <w:rPr>
      <w:b/>
      <w:bCs/>
      <w:sz w:val="20"/>
      <w:szCs w:val="20"/>
    </w:rPr>
  </w:style>
  <w:style w:type="paragraph" w:styleId="BalloonText">
    <w:name w:val="Balloon Text"/>
    <w:basedOn w:val="Normal"/>
    <w:link w:val="BalloonTextChar"/>
    <w:uiPriority w:val="99"/>
    <w:semiHidden/>
    <w:unhideWhenUsed/>
    <w:rsid w:val="005C6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EF5"/>
    <w:rPr>
      <w:rFonts w:ascii="Segoe UI" w:hAnsi="Segoe UI" w:cs="Segoe UI"/>
      <w:sz w:val="18"/>
      <w:szCs w:val="18"/>
    </w:rPr>
  </w:style>
  <w:style w:type="paragraph" w:styleId="NormalWeb">
    <w:name w:val="Normal (Web)"/>
    <w:basedOn w:val="Normal"/>
    <w:uiPriority w:val="99"/>
    <w:semiHidden/>
    <w:unhideWhenUsed/>
    <w:rsid w:val="00683DB5"/>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923D4"/>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09777">
      <w:bodyDiv w:val="1"/>
      <w:marLeft w:val="0"/>
      <w:marRight w:val="0"/>
      <w:marTop w:val="0"/>
      <w:marBottom w:val="0"/>
      <w:divBdr>
        <w:top w:val="none" w:sz="0" w:space="0" w:color="auto"/>
        <w:left w:val="none" w:sz="0" w:space="0" w:color="auto"/>
        <w:bottom w:val="none" w:sz="0" w:space="0" w:color="auto"/>
        <w:right w:val="none" w:sz="0" w:space="0" w:color="auto"/>
      </w:divBdr>
    </w:div>
    <w:div w:id="1400134627">
      <w:bodyDiv w:val="1"/>
      <w:marLeft w:val="0"/>
      <w:marRight w:val="0"/>
      <w:marTop w:val="0"/>
      <w:marBottom w:val="0"/>
      <w:divBdr>
        <w:top w:val="none" w:sz="0" w:space="0" w:color="auto"/>
        <w:left w:val="none" w:sz="0" w:space="0" w:color="auto"/>
        <w:bottom w:val="none" w:sz="0" w:space="0" w:color="auto"/>
        <w:right w:val="none" w:sz="0" w:space="0" w:color="auto"/>
      </w:divBdr>
    </w:div>
    <w:div w:id="174163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nterprisetruck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hyperlink" Target="http://www.enterprisetruck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SALES\DomSales\Private\GPA\8.%20Consortiums\3.%20GPO%20Master%20Documents\2.%20Program%20Summary%20templates\Truck%20Program%20Summ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C5A4-35AA-4861-96EF-5445D791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Truck Program Summary 2021.dotx</Template>
  <TotalTime>0</TotalTime>
  <Pages>1</Pages>
  <Words>600</Words>
  <Characters>3425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XCO Program Summary 2021</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XCO Program Summary 2021</dc:title>
  <dc:subject/>
  <dc:creator>e539yj</dc:creator>
  <cp:keywords/>
  <dc:description/>
  <cp:lastModifiedBy>Trinidad G. Padilla</cp:lastModifiedBy>
  <cp:revision>2</cp:revision>
  <dcterms:created xsi:type="dcterms:W3CDTF">2022-07-29T14:45:00Z</dcterms:created>
  <dcterms:modified xsi:type="dcterms:W3CDTF">2022-07-29T14:45:00Z</dcterms:modified>
</cp:coreProperties>
</file>