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FE1C1" w14:textId="736BE791" w:rsidR="003E26DB" w:rsidRPr="00280904" w:rsidRDefault="00FA6811" w:rsidP="00280904">
      <w:pPr>
        <w:pStyle w:val="Heading1"/>
      </w:pPr>
      <w:r>
        <w:t>University of Wyoming</w:t>
      </w:r>
      <w:r w:rsidR="00280904" w:rsidRPr="00280904">
        <w:t xml:space="preserve"> Distinguished Postdoctoral Fellowships</w:t>
      </w:r>
      <w:r w:rsidR="00280904">
        <w:t xml:space="preserve"> for </w:t>
      </w:r>
      <w:r w:rsidR="009C080B">
        <w:br/>
      </w:r>
      <w:r w:rsidR="00280904">
        <w:t>AI</w:t>
      </w:r>
      <w:r w:rsidR="009C080B">
        <w:t>-enabled</w:t>
      </w:r>
      <w:r w:rsidR="00280904">
        <w:t xml:space="preserve"> </w:t>
      </w:r>
      <w:r w:rsidR="009C080B">
        <w:t>Interdisciplinary R</w:t>
      </w:r>
      <w:r w:rsidR="00280904">
        <w:t>esearch</w:t>
      </w:r>
    </w:p>
    <w:p w14:paraId="10C472EC" w14:textId="77777777" w:rsidR="00280904" w:rsidRPr="00280904" w:rsidRDefault="00280904" w:rsidP="00280904"/>
    <w:p w14:paraId="5B7977FD" w14:textId="77777777" w:rsidR="00280904" w:rsidRPr="00280904" w:rsidRDefault="00280904" w:rsidP="00280904">
      <w:pPr>
        <w:pStyle w:val="Heading2"/>
      </w:pPr>
      <w:r w:rsidRPr="00280904">
        <w:t>About</w:t>
      </w:r>
    </w:p>
    <w:p w14:paraId="5DFCFDD9" w14:textId="2D96440D" w:rsidR="00280904" w:rsidRDefault="00280904" w:rsidP="00280904">
      <w:r w:rsidRPr="00280904">
        <w:t xml:space="preserve">The University of Wyoming is inviting applications for Distinguished Postdoctoral Fellows for conducting convergence research at the intersection of different disciplines. </w:t>
      </w:r>
      <w:r w:rsidR="00E673D0">
        <w:t>T</w:t>
      </w:r>
      <w:r w:rsidRPr="00280904">
        <w:t>his year, the program will support a cohort of up to six postdoctoral fellows for two-year terms. Postdoctoral fellows participating in the program will receive professional development opportunities, including entrepreneurship-focused workshops, and mentorship from experts in at least two disciplines.</w:t>
      </w:r>
      <w:r w:rsidR="009C080B">
        <w:t xml:space="preserve"> Projects involving collaboration with DOE National Laboratories are encouraged.</w:t>
      </w:r>
    </w:p>
    <w:p w14:paraId="4DA35EF9" w14:textId="77777777" w:rsidR="00280904" w:rsidRDefault="00280904" w:rsidP="00280904"/>
    <w:p w14:paraId="0F7F5AF0" w14:textId="6B3CB13A" w:rsidR="00280904" w:rsidRDefault="003C3030" w:rsidP="00280904">
      <w:r>
        <w:t>This year</w:t>
      </w:r>
      <w:r w:rsidR="00280904">
        <w:t xml:space="preserve">, the research projects will focus on </w:t>
      </w:r>
      <w:r w:rsidRPr="003C3030">
        <w:rPr>
          <w:b/>
          <w:bCs/>
        </w:rPr>
        <w:t xml:space="preserve">AI </w:t>
      </w:r>
      <w:r w:rsidR="00280904" w:rsidRPr="003C3030">
        <w:rPr>
          <w:b/>
          <w:bCs/>
        </w:rPr>
        <w:t>application</w:t>
      </w:r>
      <w:r>
        <w:rPr>
          <w:b/>
          <w:bCs/>
        </w:rPr>
        <w:t>s</w:t>
      </w:r>
      <w:r w:rsidR="00280904">
        <w:t xml:space="preserve"> </w:t>
      </w:r>
      <w:r>
        <w:t>in</w:t>
      </w:r>
      <w:r w:rsidR="00280904">
        <w:t xml:space="preserve"> one or more of the following topics.</w:t>
      </w:r>
      <w:r w:rsidR="00F50352">
        <w:t xml:space="preserve"> </w:t>
      </w:r>
      <w:r w:rsidR="00F50352" w:rsidRPr="00F50352">
        <w:rPr>
          <w:color w:val="000000"/>
        </w:rPr>
        <w:t>Use of modeling, simulation, digital twins, and other approaches are encouraged in the research projects.</w:t>
      </w:r>
      <w:r w:rsidR="00F50352">
        <w:rPr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80904" w:rsidRPr="00280904" w14:paraId="2D5DA9E1" w14:textId="77777777" w:rsidTr="00280904">
        <w:tc>
          <w:tcPr>
            <w:tcW w:w="2875" w:type="dxa"/>
          </w:tcPr>
          <w:p w14:paraId="23D072EB" w14:textId="77777777" w:rsidR="00280904" w:rsidRPr="00280904" w:rsidRDefault="00280904" w:rsidP="0075733D">
            <w:pPr>
              <w:rPr>
                <w:b/>
                <w:bCs/>
                <w:color w:val="212121"/>
                <w:bdr w:val="none" w:sz="0" w:space="0" w:color="auto" w:frame="1"/>
              </w:rPr>
            </w:pPr>
            <w:r w:rsidRPr="00280904">
              <w:rPr>
                <w:b/>
                <w:bCs/>
                <w:color w:val="212121"/>
                <w:bdr w:val="none" w:sz="0" w:space="0" w:color="auto" w:frame="1"/>
              </w:rPr>
              <w:t>Topic</w:t>
            </w:r>
          </w:p>
        </w:tc>
        <w:tc>
          <w:tcPr>
            <w:tcW w:w="6475" w:type="dxa"/>
          </w:tcPr>
          <w:p w14:paraId="0ED57106" w14:textId="77777777" w:rsidR="00280904" w:rsidRPr="00280904" w:rsidRDefault="00280904" w:rsidP="0075733D">
            <w:pPr>
              <w:rPr>
                <w:b/>
                <w:bCs/>
                <w:color w:val="212121"/>
                <w:bdr w:val="none" w:sz="0" w:space="0" w:color="auto" w:frame="1"/>
              </w:rPr>
            </w:pPr>
            <w:r w:rsidRPr="00280904">
              <w:rPr>
                <w:b/>
                <w:bCs/>
                <w:color w:val="212121"/>
                <w:bdr w:val="none" w:sz="0" w:space="0" w:color="auto" w:frame="1"/>
              </w:rPr>
              <w:t>Research areas</w:t>
            </w:r>
          </w:p>
        </w:tc>
      </w:tr>
      <w:tr w:rsidR="00280904" w:rsidRPr="003C3030" w14:paraId="2D7E359A" w14:textId="77777777" w:rsidTr="00280904">
        <w:tc>
          <w:tcPr>
            <w:tcW w:w="2875" w:type="dxa"/>
          </w:tcPr>
          <w:p w14:paraId="7D4AE723" w14:textId="77777777" w:rsidR="00280904" w:rsidRPr="003C3030" w:rsidRDefault="00280904" w:rsidP="0075733D">
            <w:pPr>
              <w:rPr>
                <w:color w:val="212121"/>
                <w:bdr w:val="none" w:sz="0" w:space="0" w:color="auto" w:frame="1"/>
              </w:rPr>
            </w:pPr>
            <w:r w:rsidRPr="003C3030">
              <w:rPr>
                <w:color w:val="212121"/>
                <w:bdr w:val="none" w:sz="0" w:space="0" w:color="auto" w:frame="1"/>
              </w:rPr>
              <w:t>Controlled Environment Agriculture</w:t>
            </w:r>
          </w:p>
        </w:tc>
        <w:tc>
          <w:tcPr>
            <w:tcW w:w="6475" w:type="dxa"/>
          </w:tcPr>
          <w:p w14:paraId="3D923814" w14:textId="1F97AB37" w:rsidR="00280904" w:rsidRPr="003C3030" w:rsidRDefault="009C080B" w:rsidP="0075733D">
            <w:r w:rsidRPr="003C3030">
              <w:rPr>
                <w:color w:val="212121"/>
                <w:bdr w:val="none" w:sz="0" w:space="0" w:color="auto" w:frame="1"/>
              </w:rPr>
              <w:t>plant sciences, high throughput phenotyping, machine vision, systems engineering, autonomous controls, resource optimization, microgrid, and supply chain analytics</w:t>
            </w:r>
          </w:p>
        </w:tc>
      </w:tr>
      <w:tr w:rsidR="008A1C43" w:rsidRPr="003C3030" w14:paraId="45873C16" w14:textId="77777777" w:rsidTr="00280904">
        <w:tc>
          <w:tcPr>
            <w:tcW w:w="2875" w:type="dxa"/>
          </w:tcPr>
          <w:p w14:paraId="47120704" w14:textId="2EFD62F9" w:rsidR="008A1C43" w:rsidRPr="003C3030" w:rsidRDefault="008A1C43" w:rsidP="008A1C43">
            <w:pPr>
              <w:rPr>
                <w:color w:val="212121"/>
                <w:bdr w:val="none" w:sz="0" w:space="0" w:color="auto" w:frame="1"/>
              </w:rPr>
            </w:pPr>
            <w:r w:rsidRPr="00095618">
              <w:t>Nuclear-power-related engineering</w:t>
            </w:r>
          </w:p>
        </w:tc>
        <w:tc>
          <w:tcPr>
            <w:tcW w:w="6475" w:type="dxa"/>
          </w:tcPr>
          <w:p w14:paraId="19A40CAE" w14:textId="237DB820" w:rsidR="008A1C43" w:rsidRPr="003C3030" w:rsidRDefault="008A1C43" w:rsidP="008A1C43">
            <w:pPr>
              <w:rPr>
                <w:color w:val="000000"/>
                <w:shd w:val="clear" w:color="auto" w:fill="FFFFFF"/>
              </w:rPr>
            </w:pPr>
            <w:r>
              <w:t>Engineering and technology required to support nuclear power generation, including sensing, control, thermodynamics, radiation effects on materials, chemical and physical topics related to nuclear reactors (including small modular reactors)</w:t>
            </w:r>
          </w:p>
        </w:tc>
      </w:tr>
      <w:tr w:rsidR="008A1C43" w:rsidRPr="003C3030" w14:paraId="0317F564" w14:textId="77777777" w:rsidTr="00280904">
        <w:tc>
          <w:tcPr>
            <w:tcW w:w="2875" w:type="dxa"/>
          </w:tcPr>
          <w:p w14:paraId="5C918FAA" w14:textId="6CE8BC5F" w:rsidR="008A1C43" w:rsidRPr="003C3030" w:rsidRDefault="008A1C43" w:rsidP="0075733D">
            <w:pPr>
              <w:rPr>
                <w:color w:val="212121"/>
                <w:bdr w:val="none" w:sz="0" w:space="0" w:color="auto" w:frame="1"/>
              </w:rPr>
            </w:pPr>
            <w:r w:rsidRPr="008A1C43">
              <w:rPr>
                <w:color w:val="212121"/>
                <w:bdr w:val="none" w:sz="0" w:space="0" w:color="auto" w:frame="1"/>
              </w:rPr>
              <w:t>Cybersecurity/Blockchain</w:t>
            </w:r>
          </w:p>
        </w:tc>
        <w:tc>
          <w:tcPr>
            <w:tcW w:w="6475" w:type="dxa"/>
          </w:tcPr>
          <w:p w14:paraId="574166F7" w14:textId="794AE204" w:rsidR="008A1C43" w:rsidRPr="003C3030" w:rsidRDefault="008A1C43" w:rsidP="007573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Remote and physical attack/defense, spoofing, credentials, covert and overt control of secure systems, unique security issues related to blockchain and cryptocurrency </w:t>
            </w:r>
          </w:p>
        </w:tc>
      </w:tr>
      <w:tr w:rsidR="00280904" w:rsidRPr="003C3030" w14:paraId="5325154B" w14:textId="77777777" w:rsidTr="00280904">
        <w:tc>
          <w:tcPr>
            <w:tcW w:w="2875" w:type="dxa"/>
          </w:tcPr>
          <w:p w14:paraId="5DDB22B8" w14:textId="77777777" w:rsidR="00280904" w:rsidRPr="003C3030" w:rsidRDefault="00280904" w:rsidP="0075733D">
            <w:pPr>
              <w:rPr>
                <w:color w:val="212121"/>
                <w:bdr w:val="none" w:sz="0" w:space="0" w:color="auto" w:frame="1"/>
              </w:rPr>
            </w:pPr>
            <w:r w:rsidRPr="003C3030">
              <w:rPr>
                <w:color w:val="212121"/>
                <w:bdr w:val="none" w:sz="0" w:space="0" w:color="auto" w:frame="1"/>
              </w:rPr>
              <w:t>Quantum Information Sciences and Engineering</w:t>
            </w:r>
          </w:p>
        </w:tc>
        <w:tc>
          <w:tcPr>
            <w:tcW w:w="6475" w:type="dxa"/>
          </w:tcPr>
          <w:p w14:paraId="3ACFDB83" w14:textId="09349BF9" w:rsidR="00280904" w:rsidRPr="003C3030" w:rsidRDefault="009C080B" w:rsidP="0075733D">
            <w:pPr>
              <w:rPr>
                <w:color w:val="212121"/>
                <w:bdr w:val="none" w:sz="0" w:space="0" w:color="auto" w:frame="1"/>
              </w:rPr>
            </w:pPr>
            <w:r w:rsidRPr="003C3030">
              <w:rPr>
                <w:color w:val="000000"/>
                <w:shd w:val="clear" w:color="auto" w:fill="FFFFFF"/>
              </w:rPr>
              <w:t>Quantum computing, quantum simulation, quantum algorithms, and quantum materials and devices for applications in quantum computing, sensing, and communication</w:t>
            </w:r>
          </w:p>
        </w:tc>
      </w:tr>
      <w:tr w:rsidR="00280904" w:rsidRPr="003C3030" w14:paraId="04EFCD27" w14:textId="77777777" w:rsidTr="00280904">
        <w:tc>
          <w:tcPr>
            <w:tcW w:w="2875" w:type="dxa"/>
          </w:tcPr>
          <w:p w14:paraId="50AEBCE1" w14:textId="77777777" w:rsidR="00280904" w:rsidRPr="003C3030" w:rsidRDefault="00280904" w:rsidP="0075733D">
            <w:pPr>
              <w:rPr>
                <w:color w:val="212121"/>
                <w:bdr w:val="none" w:sz="0" w:space="0" w:color="auto" w:frame="1"/>
              </w:rPr>
            </w:pPr>
            <w:r w:rsidRPr="003C3030">
              <w:rPr>
                <w:color w:val="000000"/>
                <w:shd w:val="clear" w:color="auto" w:fill="FFFFFF"/>
              </w:rPr>
              <w:t>Rural futures</w:t>
            </w:r>
          </w:p>
        </w:tc>
        <w:tc>
          <w:tcPr>
            <w:tcW w:w="6475" w:type="dxa"/>
          </w:tcPr>
          <w:p w14:paraId="5A90ED63" w14:textId="1F77FA6A" w:rsidR="00280904" w:rsidRPr="003C3030" w:rsidRDefault="009C080B" w:rsidP="0075733D">
            <w:pPr>
              <w:rPr>
                <w:color w:val="212121"/>
                <w:bdr w:val="none" w:sz="0" w:space="0" w:color="auto" w:frame="1"/>
              </w:rPr>
            </w:pPr>
            <w:r>
              <w:rPr>
                <w:color w:val="000000"/>
                <w:shd w:val="clear" w:color="auto" w:fill="FFFFFF"/>
              </w:rPr>
              <w:t>A</w:t>
            </w:r>
            <w:r w:rsidRPr="003C3030">
              <w:rPr>
                <w:color w:val="000000"/>
                <w:shd w:val="clear" w:color="auto" w:fill="FFFFFF"/>
              </w:rPr>
              <w:t xml:space="preserve"> community-scale “smart village” </w:t>
            </w:r>
            <w:r>
              <w:rPr>
                <w:color w:val="000000"/>
                <w:shd w:val="clear" w:color="auto" w:fill="FFFFFF"/>
              </w:rPr>
              <w:t xml:space="preserve">sensor network and </w:t>
            </w:r>
            <w:r w:rsidRPr="003C3030">
              <w:rPr>
                <w:color w:val="000000"/>
                <w:shd w:val="clear" w:color="auto" w:fill="FFFFFF"/>
              </w:rPr>
              <w:t>digital twin proof-of-concept, smart and connected communities</w:t>
            </w:r>
          </w:p>
        </w:tc>
      </w:tr>
      <w:tr w:rsidR="00280904" w:rsidRPr="003C3030" w14:paraId="2CD14376" w14:textId="77777777" w:rsidTr="00280904">
        <w:tc>
          <w:tcPr>
            <w:tcW w:w="2875" w:type="dxa"/>
          </w:tcPr>
          <w:p w14:paraId="7E9E1101" w14:textId="77777777" w:rsidR="00280904" w:rsidRPr="003C3030" w:rsidRDefault="00280904" w:rsidP="0075733D">
            <w:pPr>
              <w:rPr>
                <w:color w:val="000000"/>
                <w:shd w:val="clear" w:color="auto" w:fill="FFFFFF"/>
              </w:rPr>
            </w:pPr>
            <w:r w:rsidRPr="003C3030">
              <w:rPr>
                <w:color w:val="212121"/>
                <w:bdr w:val="none" w:sz="0" w:space="0" w:color="auto" w:frame="1"/>
                <w:lang w:val="en"/>
              </w:rPr>
              <w:t>Energy Materials</w:t>
            </w:r>
          </w:p>
        </w:tc>
        <w:tc>
          <w:tcPr>
            <w:tcW w:w="6475" w:type="dxa"/>
          </w:tcPr>
          <w:p w14:paraId="10FF4A47" w14:textId="1C380D2B" w:rsidR="00280904" w:rsidRPr="003C3030" w:rsidRDefault="009C080B" w:rsidP="007573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"/>
              </w:rPr>
              <w:t>A</w:t>
            </w:r>
            <w:r w:rsidRPr="00FE0F98">
              <w:rPr>
                <w:color w:val="000000"/>
                <w:shd w:val="clear" w:color="auto" w:fill="FFFFFF"/>
                <w:lang w:val="en"/>
              </w:rPr>
              <w:t>ll aspects of energy harvesting and conversion</w:t>
            </w:r>
            <w:r w:rsidRPr="003C3030">
              <w:rPr>
                <w:color w:val="000000"/>
                <w:shd w:val="clear" w:color="auto" w:fill="FFFFFF"/>
                <w:lang w:val="en"/>
              </w:rPr>
              <w:t xml:space="preserve">, including applications to </w:t>
            </w:r>
            <w:r w:rsidRPr="00FE0F98">
              <w:rPr>
                <w:color w:val="000000"/>
                <w:shd w:val="clear" w:color="auto" w:fill="FFFFFF"/>
                <w:lang w:val="en"/>
              </w:rPr>
              <w:t>batteries, hydrogen storage, carbon sequestration and management, catalysis, graphite/graphene, construction materials, and magnets</w:t>
            </w:r>
          </w:p>
        </w:tc>
      </w:tr>
      <w:tr w:rsidR="003C3030" w:rsidRPr="003C3030" w14:paraId="0B6DD577" w14:textId="77777777" w:rsidTr="00280904">
        <w:tc>
          <w:tcPr>
            <w:tcW w:w="2875" w:type="dxa"/>
          </w:tcPr>
          <w:p w14:paraId="5AD26099" w14:textId="2B0BA038" w:rsidR="003C3030" w:rsidRPr="003C3030" w:rsidRDefault="003C3030" w:rsidP="0075733D">
            <w:pPr>
              <w:rPr>
                <w:color w:val="212121"/>
                <w:bdr w:val="none" w:sz="0" w:space="0" w:color="auto" w:frame="1"/>
                <w:lang w:val="en"/>
              </w:rPr>
            </w:pPr>
            <w:r w:rsidRPr="00FE0F98">
              <w:rPr>
                <w:color w:val="000000"/>
                <w:shd w:val="clear" w:color="auto" w:fill="FFFFFF"/>
              </w:rPr>
              <w:t>Wildlife, Technology, and Computing </w:t>
            </w:r>
          </w:p>
        </w:tc>
        <w:tc>
          <w:tcPr>
            <w:tcW w:w="6475" w:type="dxa"/>
          </w:tcPr>
          <w:p w14:paraId="53D0C6F7" w14:textId="4CB557C4" w:rsidR="003C3030" w:rsidRPr="003C3030" w:rsidRDefault="009C080B" w:rsidP="0075733D">
            <w:pPr>
              <w:rPr>
                <w:color w:val="000000"/>
                <w:shd w:val="clear" w:color="auto" w:fill="FFFFFF"/>
                <w:lang w:val="en"/>
              </w:rPr>
            </w:pPr>
            <w:r>
              <w:rPr>
                <w:color w:val="000000"/>
                <w:shd w:val="clear" w:color="auto" w:fill="FFFFFF"/>
              </w:rPr>
              <w:t>A</w:t>
            </w:r>
            <w:r w:rsidRPr="00FE0F98">
              <w:rPr>
                <w:color w:val="000000"/>
                <w:shd w:val="clear" w:color="auto" w:fill="FFFFFF"/>
              </w:rPr>
              <w:t>nimal bio-logging, environmental informatics, remote sensing, and computational workflows to advance the management and conservation of Wyoming’s diverse wildlife</w:t>
            </w:r>
          </w:p>
        </w:tc>
      </w:tr>
    </w:tbl>
    <w:p w14:paraId="7315CC26" w14:textId="77777777" w:rsidR="00280904" w:rsidRPr="00280904" w:rsidRDefault="00280904" w:rsidP="00280904"/>
    <w:p w14:paraId="2645B62F" w14:textId="77777777" w:rsidR="00280904" w:rsidRPr="00280904" w:rsidRDefault="00280904" w:rsidP="00280904">
      <w:pPr>
        <w:pStyle w:val="Heading2"/>
      </w:pPr>
      <w:r w:rsidRPr="00280904">
        <w:t>Eligibility</w:t>
      </w:r>
    </w:p>
    <w:p w14:paraId="5B6ADD99" w14:textId="77777777" w:rsidR="00280904" w:rsidRPr="00280904" w:rsidRDefault="00280904" w:rsidP="00280904">
      <w:r w:rsidRPr="00280904">
        <w:t xml:space="preserve">The </w:t>
      </w:r>
      <w:r>
        <w:t>UW Distinguished Postdoctoral Fellows</w:t>
      </w:r>
      <w:r w:rsidRPr="00280904">
        <w:t xml:space="preserve"> Program will accept applications from:</w:t>
      </w:r>
    </w:p>
    <w:p w14:paraId="2DC41D16" w14:textId="77777777" w:rsidR="00280904" w:rsidRPr="00280904" w:rsidRDefault="00280904" w:rsidP="00280904">
      <w:pPr>
        <w:pStyle w:val="ListParagraph"/>
        <w:numPr>
          <w:ilvl w:val="0"/>
          <w:numId w:val="2"/>
        </w:numPr>
      </w:pPr>
      <w:r w:rsidRPr="00280904">
        <w:t>Graduate students who are within a year of finishing their PhD</w:t>
      </w:r>
    </w:p>
    <w:p w14:paraId="579C9B0D" w14:textId="0DA7C741" w:rsidR="00280904" w:rsidRPr="00280904" w:rsidRDefault="00280904" w:rsidP="00280904">
      <w:pPr>
        <w:pStyle w:val="ListParagraph"/>
        <w:numPr>
          <w:ilvl w:val="0"/>
          <w:numId w:val="2"/>
        </w:numPr>
      </w:pPr>
      <w:r w:rsidRPr="00280904">
        <w:lastRenderedPageBreak/>
        <w:t xml:space="preserve">Recent PhD recipients within </w:t>
      </w:r>
      <w:r w:rsidR="00F50352">
        <w:t>three</w:t>
      </w:r>
      <w:r w:rsidRPr="00280904">
        <w:t xml:space="preserve"> year</w:t>
      </w:r>
      <w:r w:rsidR="00F50352">
        <w:t>s</w:t>
      </w:r>
      <w:r w:rsidRPr="00280904">
        <w:t xml:space="preserve"> of graduation</w:t>
      </w:r>
    </w:p>
    <w:p w14:paraId="2E3ADFFA" w14:textId="77777777" w:rsidR="00280904" w:rsidRDefault="00280904" w:rsidP="00280904"/>
    <w:p w14:paraId="23AF583B" w14:textId="00BE9439" w:rsidR="00280904" w:rsidRDefault="00280904" w:rsidP="00280904">
      <w:r w:rsidRPr="00280904">
        <w:t xml:space="preserve">Applications from both domestic and international candidates are welcome. </w:t>
      </w:r>
      <w:r w:rsidR="00C47D50">
        <w:t>Applicants will</w:t>
      </w:r>
      <w:r w:rsidR="00C47D50" w:rsidRPr="00280904">
        <w:t xml:space="preserve"> identify </w:t>
      </w:r>
      <w:r w:rsidR="00C47D50">
        <w:t>UW faculty members</w:t>
      </w:r>
      <w:r w:rsidR="00C47D50" w:rsidRPr="00280904">
        <w:t xml:space="preserve"> who can serve as </w:t>
      </w:r>
      <w:r w:rsidR="00C47D50">
        <w:t>advisors</w:t>
      </w:r>
      <w:r w:rsidR="00C47D50" w:rsidRPr="00280904">
        <w:t xml:space="preserve"> and help them develop and pursue their research interests.</w:t>
      </w:r>
      <w:r w:rsidR="00C47D50">
        <w:t xml:space="preserve"> </w:t>
      </w:r>
    </w:p>
    <w:p w14:paraId="18D8A42E" w14:textId="77777777" w:rsidR="00280904" w:rsidRPr="00280904" w:rsidRDefault="00280904" w:rsidP="00280904"/>
    <w:p w14:paraId="4A1F3CE5" w14:textId="77777777" w:rsidR="00280904" w:rsidRPr="00280904" w:rsidRDefault="00280904" w:rsidP="00280904">
      <w:pPr>
        <w:pStyle w:val="Heading2"/>
      </w:pPr>
      <w:r w:rsidRPr="00280904">
        <w:t>Applications</w:t>
      </w:r>
    </w:p>
    <w:p w14:paraId="76D3505C" w14:textId="6647F7F5" w:rsidR="00C47D50" w:rsidRDefault="00280904" w:rsidP="00C47D50">
      <w:r w:rsidRPr="00280904">
        <w:t xml:space="preserve">Applications for the </w:t>
      </w:r>
      <w:r w:rsidR="003C3030">
        <w:t>2024-25</w:t>
      </w:r>
      <w:r w:rsidRPr="00280904">
        <w:t xml:space="preserve"> cohort are now being accepted </w:t>
      </w:r>
      <w:r w:rsidR="003C3030">
        <w:t xml:space="preserve">with the following deadlines: June 1, </w:t>
      </w:r>
      <w:r w:rsidR="009C080B">
        <w:t>2024,</w:t>
      </w:r>
      <w:r w:rsidR="003C3030">
        <w:t xml:space="preserve"> and</w:t>
      </w:r>
      <w:r w:rsidR="00190B49">
        <w:t xml:space="preserve"> extended to</w:t>
      </w:r>
      <w:r w:rsidR="003C3030">
        <w:t xml:space="preserve"> </w:t>
      </w:r>
      <w:r w:rsidR="00190B49">
        <w:t>February 1</w:t>
      </w:r>
      <w:r w:rsidR="003337BE">
        <w:t>5</w:t>
      </w:r>
      <w:r w:rsidR="00190B49">
        <w:t>, 2025</w:t>
      </w:r>
      <w:r w:rsidRPr="00280904">
        <w:t xml:space="preserve">. Please </w:t>
      </w:r>
      <w:r w:rsidR="009C080B">
        <w:t xml:space="preserve">send </w:t>
      </w:r>
      <w:r w:rsidR="00C47D50">
        <w:t xml:space="preserve">your application to </w:t>
      </w:r>
      <w:hyperlink r:id="rId5" w:history="1">
        <w:r w:rsidR="00C47D50" w:rsidRPr="00916FCA">
          <w:rPr>
            <w:rStyle w:val="Hyperlink"/>
          </w:rPr>
          <w:t>vpred@uwyo.edu</w:t>
        </w:r>
      </w:hyperlink>
      <w:r w:rsidR="00C47D50">
        <w:t xml:space="preserve"> </w:t>
      </w:r>
      <w:r w:rsidRPr="00280904">
        <w:t>.</w:t>
      </w:r>
      <w:r w:rsidR="00C47D50">
        <w:t xml:space="preserve"> The subject line must include ‘Postdoctoral Fellowship Application’. You must include a single PDF file with the following information:</w:t>
      </w:r>
      <w:r w:rsidR="00C47D50" w:rsidRPr="00C47D50">
        <w:t xml:space="preserve"> </w:t>
      </w:r>
    </w:p>
    <w:p w14:paraId="678DD076" w14:textId="53ED1EE0" w:rsidR="00C47D50" w:rsidRDefault="00C47D50" w:rsidP="00C47D50">
      <w:pPr>
        <w:pStyle w:val="ListParagraph"/>
        <w:numPr>
          <w:ilvl w:val="0"/>
          <w:numId w:val="3"/>
        </w:numPr>
      </w:pPr>
      <w:r>
        <w:t xml:space="preserve">Cover Page: Name, contact information, proposed topic of research, list of at least four </w:t>
      </w:r>
      <w:r w:rsidR="00FA6811">
        <w:t>potential advisors</w:t>
      </w:r>
      <w:r>
        <w:t xml:space="preserve"> from the University of Wyoming</w:t>
      </w:r>
    </w:p>
    <w:p w14:paraId="6994F886" w14:textId="33985A77" w:rsidR="00C47D50" w:rsidRDefault="00C47D50" w:rsidP="00C47D50">
      <w:pPr>
        <w:pStyle w:val="ListParagraph"/>
        <w:numPr>
          <w:ilvl w:val="0"/>
          <w:numId w:val="3"/>
        </w:numPr>
      </w:pPr>
      <w:r>
        <w:t>Curriculum vitae</w:t>
      </w:r>
    </w:p>
    <w:p w14:paraId="1A387B22" w14:textId="1675CDDB" w:rsidR="00C47D50" w:rsidRDefault="00C47D50" w:rsidP="00C47D50">
      <w:pPr>
        <w:pStyle w:val="ListParagraph"/>
        <w:numPr>
          <w:ilvl w:val="0"/>
          <w:numId w:val="3"/>
        </w:numPr>
      </w:pPr>
      <w:r>
        <w:t>Research statement (two page</w:t>
      </w:r>
      <w:r w:rsidR="00FA6811">
        <w:t>s</w:t>
      </w:r>
      <w:r>
        <w:t xml:space="preserve"> max): </w:t>
      </w:r>
      <w:r w:rsidRPr="00280904">
        <w:t xml:space="preserve">Applicants </w:t>
      </w:r>
      <w:r>
        <w:t>should</w:t>
      </w:r>
      <w:r w:rsidRPr="00280904">
        <w:t xml:space="preserve"> propose ideas for projects they wish to accomplish during their tenure in the program</w:t>
      </w:r>
      <w:r>
        <w:t>.</w:t>
      </w:r>
    </w:p>
    <w:p w14:paraId="2C407D4D" w14:textId="4A760814" w:rsidR="00C47D50" w:rsidRDefault="00C47D50" w:rsidP="00C47D50">
      <w:pPr>
        <w:pStyle w:val="ListParagraph"/>
        <w:numPr>
          <w:ilvl w:val="0"/>
          <w:numId w:val="3"/>
        </w:numPr>
      </w:pPr>
      <w:r>
        <w:t>Contact information for three references.</w:t>
      </w:r>
    </w:p>
    <w:p w14:paraId="12AA4D2D" w14:textId="77777777" w:rsidR="00280904" w:rsidRPr="00280904" w:rsidRDefault="00280904" w:rsidP="00280904"/>
    <w:p w14:paraId="2A5F7C95" w14:textId="77777777" w:rsidR="00280904" w:rsidRPr="00280904" w:rsidRDefault="00280904" w:rsidP="00280904">
      <w:pPr>
        <w:pStyle w:val="Heading2"/>
      </w:pPr>
      <w:r w:rsidRPr="00280904">
        <w:t>Finding An Advisor</w:t>
      </w:r>
    </w:p>
    <w:p w14:paraId="2C3B33AD" w14:textId="20E901B1" w:rsidR="00280904" w:rsidRDefault="00280904" w:rsidP="00280904">
      <w:r w:rsidRPr="00280904">
        <w:t>A</w:t>
      </w:r>
      <w:r w:rsidR="003C3030">
        <w:t xml:space="preserve">n </w:t>
      </w:r>
      <w:r w:rsidRPr="00280904">
        <w:t xml:space="preserve">advisor is a key member of </w:t>
      </w:r>
      <w:r w:rsidR="003C3030">
        <w:t>a postdoctoral fellow’s</w:t>
      </w:r>
      <w:r w:rsidRPr="00280904">
        <w:t xml:space="preserve"> research and </w:t>
      </w:r>
      <w:r w:rsidR="003C3030">
        <w:t>professional development</w:t>
      </w:r>
      <w:r w:rsidRPr="00280904">
        <w:t xml:space="preserve">. Applicants are encouraged to explore faculty </w:t>
      </w:r>
      <w:r w:rsidR="003C3030">
        <w:t xml:space="preserve">interests </w:t>
      </w:r>
      <w:r w:rsidR="003C3030" w:rsidRPr="00280904">
        <w:t xml:space="preserve">across departments in all </w:t>
      </w:r>
      <w:r w:rsidR="003C3030">
        <w:t xml:space="preserve">Schools and Colleges at UW and identify faculty members </w:t>
      </w:r>
      <w:r w:rsidRPr="00280904">
        <w:t>who</w:t>
      </w:r>
      <w:r w:rsidR="003C3030">
        <w:t>se expertise will advance the research interests of the fellow</w:t>
      </w:r>
      <w:r w:rsidRPr="00280904">
        <w:t xml:space="preserve">. The program will help match fellows with appropriate advisors as needed. </w:t>
      </w:r>
      <w:r w:rsidR="003C3030">
        <w:t xml:space="preserve">It is anticipated that a fellow will be co-mentored by a pair of faculty </w:t>
      </w:r>
      <w:r w:rsidR="009C080B">
        <w:t xml:space="preserve">members </w:t>
      </w:r>
      <w:r w:rsidR="003C3030">
        <w:t>from two different disciplines.</w:t>
      </w:r>
    </w:p>
    <w:p w14:paraId="763A3BA0" w14:textId="77777777" w:rsidR="00280904" w:rsidRPr="00280904" w:rsidRDefault="00280904" w:rsidP="00280904"/>
    <w:p w14:paraId="330E69C7" w14:textId="77777777" w:rsidR="00280904" w:rsidRPr="00280904" w:rsidRDefault="00280904" w:rsidP="00280904">
      <w:pPr>
        <w:pStyle w:val="Heading2"/>
      </w:pPr>
      <w:r w:rsidRPr="00280904">
        <w:t>Funding and Support</w:t>
      </w:r>
    </w:p>
    <w:p w14:paraId="4AFCCC7C" w14:textId="01D14E73" w:rsidR="00280904" w:rsidRPr="00280904" w:rsidRDefault="00280904" w:rsidP="00280904">
      <w:r w:rsidRPr="00280904">
        <w:t>Fellows that are accepted into the program will be awarded a two-year stipend starting at $7</w:t>
      </w:r>
      <w:r w:rsidR="00FA6811">
        <w:t>0</w:t>
      </w:r>
      <w:r w:rsidRPr="00280904">
        <w:t xml:space="preserve">,000 annually, plus additional funds for benefits coverage. </w:t>
      </w:r>
      <w:r w:rsidR="00FA6811">
        <w:t>Opportunities for</w:t>
      </w:r>
      <w:r w:rsidRPr="00280904">
        <w:t xml:space="preserve"> travel grants</w:t>
      </w:r>
      <w:r w:rsidR="00FA6811">
        <w:t xml:space="preserve">, professional development </w:t>
      </w:r>
      <w:r w:rsidRPr="00280904">
        <w:t xml:space="preserve">as well as computer access </w:t>
      </w:r>
      <w:r w:rsidR="00FA6811">
        <w:t>will be available</w:t>
      </w:r>
      <w:r w:rsidRPr="00280904">
        <w:t>.  </w:t>
      </w:r>
    </w:p>
    <w:p w14:paraId="5F3D9F0A" w14:textId="77777777" w:rsidR="00280904" w:rsidRPr="00280904" w:rsidRDefault="00280904" w:rsidP="00280904"/>
    <w:sectPr w:rsidR="00280904" w:rsidRPr="00280904" w:rsidSect="00AF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7F63"/>
    <w:multiLevelType w:val="multilevel"/>
    <w:tmpl w:val="B154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312D"/>
    <w:multiLevelType w:val="hybridMultilevel"/>
    <w:tmpl w:val="AC88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6678"/>
    <w:multiLevelType w:val="hybridMultilevel"/>
    <w:tmpl w:val="BD1A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043552">
    <w:abstractNumId w:val="0"/>
  </w:num>
  <w:num w:numId="2" w16cid:durableId="1051155044">
    <w:abstractNumId w:val="2"/>
  </w:num>
  <w:num w:numId="3" w16cid:durableId="153854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04"/>
    <w:rsid w:val="000466F9"/>
    <w:rsid w:val="00060BB7"/>
    <w:rsid w:val="00096A88"/>
    <w:rsid w:val="00103B0D"/>
    <w:rsid w:val="0018691E"/>
    <w:rsid w:val="00190B49"/>
    <w:rsid w:val="00245D5B"/>
    <w:rsid w:val="00280904"/>
    <w:rsid w:val="003337BE"/>
    <w:rsid w:val="00376353"/>
    <w:rsid w:val="003C3030"/>
    <w:rsid w:val="003E26DB"/>
    <w:rsid w:val="003F04D0"/>
    <w:rsid w:val="004615B6"/>
    <w:rsid w:val="0054769C"/>
    <w:rsid w:val="00677201"/>
    <w:rsid w:val="006A7DCB"/>
    <w:rsid w:val="006D5645"/>
    <w:rsid w:val="008A1C43"/>
    <w:rsid w:val="009C080B"/>
    <w:rsid w:val="00AF2E41"/>
    <w:rsid w:val="00C47D50"/>
    <w:rsid w:val="00CA2B93"/>
    <w:rsid w:val="00E673D0"/>
    <w:rsid w:val="00F50352"/>
    <w:rsid w:val="00F92F6C"/>
    <w:rsid w:val="00F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9094"/>
  <w15:chartTrackingRefBased/>
  <w15:docId w15:val="{DD17151F-9839-2947-A682-A67A5EBD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04"/>
    <w:rPr>
      <w:rFonts w:eastAsia="Times New Roman" w:cs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904"/>
    <w:pPr>
      <w:keepNext/>
      <w:keepLines/>
      <w:spacing w:before="240"/>
      <w:jc w:val="center"/>
      <w:outlineLvl w:val="0"/>
    </w:pPr>
    <w:rPr>
      <w:rFonts w:eastAsiaTheme="majorEastAsia"/>
      <w:b/>
      <w:bCs/>
      <w:color w:val="1F3864" w:themeColor="accent1" w:themeShade="80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80904"/>
    <w:pPr>
      <w:outlineLvl w:val="1"/>
    </w:pPr>
    <w:rPr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0904"/>
    <w:rPr>
      <w:rFonts w:eastAsia="Times New Roman" w:cstheme="minorHAnsi"/>
      <w:b/>
      <w:bCs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809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09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0904"/>
    <w:rPr>
      <w:rFonts w:eastAsiaTheme="majorEastAsia" w:cstheme="minorHAnsi"/>
      <w:b/>
      <w:bCs/>
      <w:color w:val="1F3864" w:themeColor="accent1" w:themeShade="80"/>
      <w:sz w:val="28"/>
      <w:szCs w:val="28"/>
    </w:rPr>
  </w:style>
  <w:style w:type="table" w:styleId="TableGrid">
    <w:name w:val="Table Grid"/>
    <w:basedOn w:val="TableNormal"/>
    <w:uiPriority w:val="39"/>
    <w:rsid w:val="0028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9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red@uw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Parag Chitnis</dc:creator>
  <cp:keywords/>
  <dc:description/>
  <cp:lastModifiedBy>Chelley Schneider</cp:lastModifiedBy>
  <cp:revision>3</cp:revision>
  <dcterms:created xsi:type="dcterms:W3CDTF">2024-12-17T23:20:00Z</dcterms:created>
  <dcterms:modified xsi:type="dcterms:W3CDTF">2024-12-17T23:20:00Z</dcterms:modified>
</cp:coreProperties>
</file>