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2B12E" w14:textId="13E8DD62" w:rsidR="00C66220" w:rsidRPr="00C66220" w:rsidRDefault="00C66220" w:rsidP="00C66220">
      <w:pPr>
        <w:jc w:val="center"/>
        <w:rPr>
          <w:rFonts w:ascii="Arial" w:hAnsi="Arial" w:cs="Arial"/>
          <w:b/>
        </w:rPr>
      </w:pPr>
      <w:r w:rsidRPr="00C66220">
        <w:rPr>
          <w:rFonts w:ascii="Arial" w:hAnsi="Arial" w:cs="Arial"/>
          <w:b/>
        </w:rPr>
        <w:t>5-Bromo-2-Deoxyuridine (</w:t>
      </w:r>
      <w:proofErr w:type="spellStart"/>
      <w:r w:rsidRPr="00C66220">
        <w:rPr>
          <w:rFonts w:ascii="Arial" w:hAnsi="Arial" w:cs="Arial"/>
          <w:b/>
        </w:rPr>
        <w:t>BrdU</w:t>
      </w:r>
      <w:bookmarkStart w:id="0" w:name="_GoBack"/>
      <w:bookmarkEnd w:id="0"/>
      <w:proofErr w:type="spellEnd"/>
      <w:r w:rsidRPr="00C66220">
        <w:rPr>
          <w:rFonts w:ascii="Arial" w:hAnsi="Arial" w:cs="Arial"/>
          <w:b/>
        </w:rPr>
        <w:t>) Administration, Handling &amp; Disposal</w:t>
      </w:r>
    </w:p>
    <w:p w14:paraId="37E3E377" w14:textId="77777777" w:rsidR="00C66220" w:rsidRPr="00C66220" w:rsidRDefault="00C66220" w:rsidP="006055E5">
      <w:pPr>
        <w:jc w:val="both"/>
        <w:rPr>
          <w:rFonts w:ascii="Arial" w:hAnsi="Arial" w:cs="Arial"/>
          <w:b/>
        </w:rPr>
      </w:pPr>
      <w:r w:rsidRPr="00C66220">
        <w:rPr>
          <w:rFonts w:ascii="Arial" w:hAnsi="Arial" w:cs="Arial"/>
          <w:b/>
        </w:rPr>
        <w:t>DESCRIPTION</w:t>
      </w:r>
    </w:p>
    <w:p w14:paraId="3C9A1716" w14:textId="77777777" w:rsidR="00C66220" w:rsidRPr="00C66220" w:rsidRDefault="00C66220" w:rsidP="006055E5">
      <w:pPr>
        <w:jc w:val="both"/>
        <w:rPr>
          <w:rFonts w:ascii="Arial" w:hAnsi="Arial" w:cs="Arial"/>
        </w:rPr>
      </w:pPr>
      <w:r w:rsidRPr="00C66220">
        <w:rPr>
          <w:rFonts w:ascii="Arial" w:hAnsi="Arial" w:cs="Arial"/>
        </w:rPr>
        <w:t>5-bromo-2-deoxyuridine (</w:t>
      </w:r>
      <w:proofErr w:type="spellStart"/>
      <w:r w:rsidRPr="00C66220">
        <w:rPr>
          <w:rFonts w:ascii="Arial" w:hAnsi="Arial" w:cs="Arial"/>
        </w:rPr>
        <w:t>BrdU</w:t>
      </w:r>
      <w:proofErr w:type="spellEnd"/>
      <w:r w:rsidRPr="00C66220">
        <w:rPr>
          <w:rFonts w:ascii="Arial" w:hAnsi="Arial" w:cs="Arial"/>
        </w:rPr>
        <w:t xml:space="preserve">) is a base analog of </w:t>
      </w:r>
      <w:proofErr w:type="spellStart"/>
      <w:r w:rsidRPr="00C66220">
        <w:rPr>
          <w:rFonts w:ascii="Arial" w:hAnsi="Arial" w:cs="Arial"/>
        </w:rPr>
        <w:t>thymindine</w:t>
      </w:r>
      <w:proofErr w:type="spellEnd"/>
      <w:r w:rsidRPr="00C66220">
        <w:rPr>
          <w:rFonts w:ascii="Arial" w:hAnsi="Arial" w:cs="Arial"/>
        </w:rPr>
        <w:t xml:space="preserve"> with the thymine substituted by bromouracil. It is incorporated into DNA to substitute </w:t>
      </w:r>
      <w:proofErr w:type="spellStart"/>
      <w:r w:rsidRPr="00C66220">
        <w:rPr>
          <w:rFonts w:ascii="Arial" w:hAnsi="Arial" w:cs="Arial"/>
        </w:rPr>
        <w:t>thymindine</w:t>
      </w:r>
      <w:proofErr w:type="spellEnd"/>
      <w:r w:rsidRPr="00C66220">
        <w:rPr>
          <w:rFonts w:ascii="Arial" w:hAnsi="Arial" w:cs="Arial"/>
        </w:rPr>
        <w:t xml:space="preserve"> to measure DNA synthesis or cell proliferation.  It can be purchased as a white crystalline powder or as a liquid solution. </w:t>
      </w:r>
    </w:p>
    <w:p w14:paraId="7E746C13" w14:textId="77777777" w:rsidR="00C66220" w:rsidRPr="00C66220" w:rsidRDefault="00C66220" w:rsidP="006055E5">
      <w:pPr>
        <w:jc w:val="both"/>
        <w:rPr>
          <w:rFonts w:ascii="Arial" w:hAnsi="Arial" w:cs="Arial"/>
        </w:rPr>
      </w:pPr>
      <w:r w:rsidRPr="00C66220">
        <w:rPr>
          <w:rFonts w:ascii="Arial" w:hAnsi="Arial" w:cs="Arial"/>
        </w:rPr>
        <w:t xml:space="preserve">Because </w:t>
      </w:r>
      <w:proofErr w:type="spellStart"/>
      <w:r w:rsidRPr="00C66220">
        <w:rPr>
          <w:rFonts w:ascii="Arial" w:hAnsi="Arial" w:cs="Arial"/>
        </w:rPr>
        <w:t>BrdU</w:t>
      </w:r>
      <w:proofErr w:type="spellEnd"/>
      <w:r w:rsidRPr="00C66220">
        <w:rPr>
          <w:rFonts w:ascii="Arial" w:hAnsi="Arial" w:cs="Arial"/>
        </w:rPr>
        <w:t xml:space="preserve"> can replace </w:t>
      </w:r>
      <w:proofErr w:type="spellStart"/>
      <w:r w:rsidRPr="00C66220">
        <w:rPr>
          <w:rFonts w:ascii="Arial" w:hAnsi="Arial" w:cs="Arial"/>
        </w:rPr>
        <w:t>thymindine</w:t>
      </w:r>
      <w:proofErr w:type="spellEnd"/>
      <w:r w:rsidRPr="00C66220">
        <w:rPr>
          <w:rFonts w:ascii="Arial" w:hAnsi="Arial" w:cs="Arial"/>
        </w:rPr>
        <w:t xml:space="preserve">, excessive exposure to the chemical can cause mutations. It is a halogenated compound considered to be a strong teratogen, a mutagen and anticipated carcinogen. The routes of exposure include inhalation, ingestion, skin absorption, eye contact, and accidental injection. All personnel must read the manufacturer’s Material Safety Data Sheet (MSDS) and receive hazard awareness training prior to work with </w:t>
      </w:r>
      <w:proofErr w:type="spellStart"/>
      <w:r w:rsidRPr="00C66220">
        <w:rPr>
          <w:rFonts w:ascii="Arial" w:hAnsi="Arial" w:cs="Arial"/>
        </w:rPr>
        <w:t>BrdU</w:t>
      </w:r>
      <w:proofErr w:type="spellEnd"/>
      <w:r w:rsidRPr="00C66220">
        <w:rPr>
          <w:rFonts w:ascii="Arial" w:hAnsi="Arial" w:cs="Arial"/>
        </w:rPr>
        <w:t xml:space="preserve">. </w:t>
      </w:r>
    </w:p>
    <w:p w14:paraId="536300E0" w14:textId="77777777" w:rsidR="00C66220" w:rsidRPr="00C66220" w:rsidRDefault="00C66220" w:rsidP="006055E5">
      <w:pPr>
        <w:jc w:val="both"/>
        <w:rPr>
          <w:rFonts w:ascii="Arial" w:hAnsi="Arial" w:cs="Arial"/>
          <w:b/>
        </w:rPr>
      </w:pPr>
      <w:r w:rsidRPr="00C66220">
        <w:rPr>
          <w:rFonts w:ascii="Arial" w:hAnsi="Arial" w:cs="Arial"/>
          <w:b/>
        </w:rPr>
        <w:t>PERSONAL PROTECTIVE EQUIPMENT (PPE)</w:t>
      </w:r>
    </w:p>
    <w:p w14:paraId="1825617A" w14:textId="77777777" w:rsidR="00C66220" w:rsidRPr="00C66220" w:rsidRDefault="00C66220" w:rsidP="006055E5">
      <w:pPr>
        <w:numPr>
          <w:ilvl w:val="0"/>
          <w:numId w:val="36"/>
        </w:numPr>
        <w:spacing w:after="0" w:line="240" w:lineRule="auto"/>
        <w:jc w:val="both"/>
        <w:rPr>
          <w:rFonts w:ascii="Arial" w:hAnsi="Arial" w:cs="Arial"/>
        </w:rPr>
      </w:pPr>
      <w:r w:rsidRPr="00C66220">
        <w:rPr>
          <w:rFonts w:ascii="Arial" w:hAnsi="Arial" w:cs="Arial"/>
        </w:rPr>
        <w:t>Nitrile gloves (disposable).  Gloves should be changed immediately if contaminated, torn, or punctured. Gloves should be disposed of immediately after removal, even if they appear to be uncontaminated. Hands should be washed when gloves are changed.</w:t>
      </w:r>
    </w:p>
    <w:p w14:paraId="6D193F76" w14:textId="77777777" w:rsidR="00C66220" w:rsidRPr="00C66220" w:rsidRDefault="00C66220" w:rsidP="006055E5">
      <w:pPr>
        <w:numPr>
          <w:ilvl w:val="0"/>
          <w:numId w:val="36"/>
        </w:numPr>
        <w:spacing w:after="0" w:line="240" w:lineRule="auto"/>
        <w:jc w:val="both"/>
        <w:rPr>
          <w:rFonts w:ascii="Arial" w:hAnsi="Arial" w:cs="Arial"/>
        </w:rPr>
      </w:pPr>
      <w:r w:rsidRPr="00C66220">
        <w:rPr>
          <w:rFonts w:ascii="Arial" w:hAnsi="Arial" w:cs="Arial"/>
        </w:rPr>
        <w:t>Safety goggles</w:t>
      </w:r>
    </w:p>
    <w:p w14:paraId="7CA49045" w14:textId="77777777" w:rsidR="00C66220" w:rsidRPr="00C66220" w:rsidRDefault="00C66220" w:rsidP="006055E5">
      <w:pPr>
        <w:numPr>
          <w:ilvl w:val="0"/>
          <w:numId w:val="36"/>
        </w:numPr>
        <w:spacing w:after="0" w:line="240" w:lineRule="auto"/>
        <w:jc w:val="both"/>
        <w:rPr>
          <w:rFonts w:ascii="Arial" w:hAnsi="Arial" w:cs="Arial"/>
        </w:rPr>
      </w:pPr>
      <w:r w:rsidRPr="00C66220">
        <w:rPr>
          <w:rFonts w:ascii="Arial" w:hAnsi="Arial" w:cs="Arial"/>
        </w:rPr>
        <w:t>Face protection when splashing is possible.</w:t>
      </w:r>
    </w:p>
    <w:p w14:paraId="503F9164" w14:textId="77777777" w:rsidR="00C66220" w:rsidRPr="00C66220" w:rsidRDefault="00C66220" w:rsidP="006055E5">
      <w:pPr>
        <w:numPr>
          <w:ilvl w:val="0"/>
          <w:numId w:val="36"/>
        </w:numPr>
        <w:spacing w:after="0" w:line="240" w:lineRule="auto"/>
        <w:jc w:val="both"/>
        <w:rPr>
          <w:rFonts w:ascii="Arial" w:hAnsi="Arial" w:cs="Arial"/>
        </w:rPr>
      </w:pPr>
      <w:r w:rsidRPr="00C66220">
        <w:rPr>
          <w:rFonts w:ascii="Arial" w:hAnsi="Arial" w:cs="Arial"/>
        </w:rPr>
        <w:t>Laboratory coat with long sleeves and tight-fitting elastic or knit cuffs, apron, or coveralls to prevent skin contact.</w:t>
      </w:r>
    </w:p>
    <w:p w14:paraId="31B97994" w14:textId="77777777" w:rsidR="00C66220" w:rsidRPr="00C66220" w:rsidRDefault="00C66220" w:rsidP="006055E5">
      <w:pPr>
        <w:numPr>
          <w:ilvl w:val="0"/>
          <w:numId w:val="36"/>
        </w:numPr>
        <w:spacing w:after="0" w:line="240" w:lineRule="auto"/>
        <w:jc w:val="both"/>
        <w:rPr>
          <w:rFonts w:ascii="Arial" w:hAnsi="Arial" w:cs="Arial"/>
        </w:rPr>
      </w:pPr>
      <w:r w:rsidRPr="00C66220">
        <w:rPr>
          <w:rFonts w:ascii="Arial" w:hAnsi="Arial" w:cs="Arial"/>
        </w:rPr>
        <w:t xml:space="preserve">Respiratory protection (requires enrollment in UW’s respirator program) may be required if aerosol potential exists when work is done outside of a fume hood or approved containment. </w:t>
      </w:r>
    </w:p>
    <w:p w14:paraId="3379EAD9" w14:textId="77777777" w:rsidR="00C66220" w:rsidRPr="00C66220" w:rsidRDefault="00C66220" w:rsidP="006055E5">
      <w:pPr>
        <w:spacing w:after="0" w:line="240" w:lineRule="auto"/>
        <w:ind w:left="720"/>
        <w:jc w:val="both"/>
        <w:rPr>
          <w:rFonts w:ascii="Arial" w:hAnsi="Arial" w:cs="Arial"/>
        </w:rPr>
      </w:pPr>
    </w:p>
    <w:p w14:paraId="673356A1" w14:textId="77777777" w:rsidR="00C66220" w:rsidRPr="00C66220" w:rsidRDefault="00C66220" w:rsidP="006055E5">
      <w:pPr>
        <w:jc w:val="both"/>
        <w:rPr>
          <w:rFonts w:ascii="Arial" w:hAnsi="Arial" w:cs="Arial"/>
          <w:b/>
        </w:rPr>
      </w:pPr>
      <w:r w:rsidRPr="00C66220">
        <w:rPr>
          <w:rFonts w:ascii="Arial" w:hAnsi="Arial" w:cs="Arial"/>
          <w:b/>
        </w:rPr>
        <w:t>PRECAUTIONS FOR PREPARATION (reconstitution and dilution)</w:t>
      </w:r>
    </w:p>
    <w:p w14:paraId="378F497D" w14:textId="77777777" w:rsidR="00C66220" w:rsidRPr="00C66220" w:rsidRDefault="00C66220" w:rsidP="006055E5">
      <w:pPr>
        <w:numPr>
          <w:ilvl w:val="0"/>
          <w:numId w:val="37"/>
        </w:numPr>
        <w:spacing w:after="0" w:line="240" w:lineRule="auto"/>
        <w:ind w:left="720"/>
        <w:jc w:val="both"/>
        <w:rPr>
          <w:rFonts w:ascii="Arial" w:hAnsi="Arial" w:cs="Arial"/>
        </w:rPr>
      </w:pPr>
      <w:r w:rsidRPr="00C66220">
        <w:rPr>
          <w:rFonts w:ascii="Arial" w:hAnsi="Arial" w:cs="Arial"/>
        </w:rPr>
        <w:t xml:space="preserve">All agent preparation must be performed in a chemical fume hood or other approved containment. </w:t>
      </w:r>
    </w:p>
    <w:p w14:paraId="0F030293" w14:textId="77777777" w:rsidR="00C66220" w:rsidRPr="00C66220" w:rsidRDefault="00C66220" w:rsidP="006055E5">
      <w:pPr>
        <w:numPr>
          <w:ilvl w:val="0"/>
          <w:numId w:val="37"/>
        </w:numPr>
        <w:spacing w:after="0" w:line="240" w:lineRule="auto"/>
        <w:ind w:left="720"/>
        <w:jc w:val="both"/>
        <w:rPr>
          <w:rFonts w:ascii="Arial" w:hAnsi="Arial" w:cs="Arial"/>
        </w:rPr>
      </w:pPr>
      <w:r w:rsidRPr="00C66220">
        <w:rPr>
          <w:rFonts w:ascii="Arial" w:hAnsi="Arial" w:cs="Arial"/>
        </w:rPr>
        <w:t xml:space="preserve">All potentially contaminated disposable items (gloves used in prep) must be placed in a plastic bag (while in the containment) and then in the chemical waste container. </w:t>
      </w:r>
    </w:p>
    <w:p w14:paraId="018683CB" w14:textId="77777777" w:rsidR="00C66220" w:rsidRPr="00C66220" w:rsidRDefault="00C66220" w:rsidP="006055E5">
      <w:pPr>
        <w:numPr>
          <w:ilvl w:val="0"/>
          <w:numId w:val="37"/>
        </w:numPr>
        <w:spacing w:after="0" w:line="240" w:lineRule="auto"/>
        <w:ind w:left="720"/>
        <w:jc w:val="both"/>
        <w:rPr>
          <w:rFonts w:ascii="Arial" w:hAnsi="Arial" w:cs="Arial"/>
        </w:rPr>
      </w:pPr>
      <w:r w:rsidRPr="00C66220">
        <w:rPr>
          <w:rFonts w:ascii="Arial" w:hAnsi="Arial" w:cs="Arial"/>
        </w:rPr>
        <w:t>Preparations should be performed over plastic backed absorbent pads.  Dispose of as noted above, immediately upon contamination.</w:t>
      </w:r>
    </w:p>
    <w:p w14:paraId="207AB3AD" w14:textId="77777777" w:rsidR="00C66220" w:rsidRPr="00C66220" w:rsidRDefault="00C66220" w:rsidP="006055E5">
      <w:pPr>
        <w:numPr>
          <w:ilvl w:val="0"/>
          <w:numId w:val="37"/>
        </w:numPr>
        <w:spacing w:after="0" w:line="240" w:lineRule="auto"/>
        <w:ind w:left="720"/>
        <w:jc w:val="both"/>
        <w:rPr>
          <w:rFonts w:ascii="Arial" w:hAnsi="Arial" w:cs="Arial"/>
        </w:rPr>
      </w:pPr>
      <w:proofErr w:type="spellStart"/>
      <w:r w:rsidRPr="00C66220">
        <w:rPr>
          <w:rFonts w:ascii="Arial" w:hAnsi="Arial" w:cs="Arial"/>
        </w:rPr>
        <w:t>BrdU</w:t>
      </w:r>
      <w:proofErr w:type="spellEnd"/>
      <w:r w:rsidRPr="00C66220">
        <w:rPr>
          <w:rFonts w:ascii="Arial" w:hAnsi="Arial" w:cs="Arial"/>
        </w:rPr>
        <w:t xml:space="preserve"> must be stored in a tightly closed container at -20 </w:t>
      </w:r>
      <w:proofErr w:type="spellStart"/>
      <w:r w:rsidRPr="00C66220">
        <w:rPr>
          <w:rFonts w:ascii="Arial" w:hAnsi="Arial" w:cs="Arial"/>
          <w:vertAlign w:val="superscript"/>
        </w:rPr>
        <w:t>o</w:t>
      </w:r>
      <w:r w:rsidRPr="00C66220">
        <w:rPr>
          <w:rFonts w:ascii="Arial" w:hAnsi="Arial" w:cs="Arial"/>
        </w:rPr>
        <w:t>C</w:t>
      </w:r>
      <w:proofErr w:type="spellEnd"/>
      <w:r w:rsidRPr="00C66220">
        <w:rPr>
          <w:rFonts w:ascii="Arial" w:hAnsi="Arial" w:cs="Arial"/>
        </w:rPr>
        <w:t xml:space="preserve"> and away from oxidizing agents. </w:t>
      </w:r>
    </w:p>
    <w:p w14:paraId="1E4BBEC8" w14:textId="77777777" w:rsidR="00C66220" w:rsidRPr="00C66220" w:rsidRDefault="00C66220" w:rsidP="006055E5">
      <w:pPr>
        <w:numPr>
          <w:ilvl w:val="0"/>
          <w:numId w:val="37"/>
        </w:numPr>
        <w:spacing w:after="0" w:line="240" w:lineRule="auto"/>
        <w:ind w:left="720"/>
        <w:jc w:val="both"/>
        <w:rPr>
          <w:rFonts w:ascii="Arial" w:hAnsi="Arial" w:cs="Arial"/>
        </w:rPr>
      </w:pPr>
      <w:proofErr w:type="spellStart"/>
      <w:r w:rsidRPr="00C66220">
        <w:rPr>
          <w:rFonts w:ascii="Arial" w:hAnsi="Arial" w:cs="Arial"/>
        </w:rPr>
        <w:t>BrdU</w:t>
      </w:r>
      <w:proofErr w:type="spellEnd"/>
      <w:r w:rsidRPr="00C66220">
        <w:rPr>
          <w:rFonts w:ascii="Arial" w:hAnsi="Arial" w:cs="Arial"/>
        </w:rPr>
        <w:t xml:space="preserve"> must be transported in labeled </w:t>
      </w:r>
      <w:proofErr w:type="spellStart"/>
      <w:r w:rsidRPr="00C66220">
        <w:rPr>
          <w:rFonts w:ascii="Arial" w:hAnsi="Arial" w:cs="Arial"/>
        </w:rPr>
        <w:t>ziplock</w:t>
      </w:r>
      <w:proofErr w:type="spellEnd"/>
      <w:r w:rsidRPr="00C66220">
        <w:rPr>
          <w:rFonts w:ascii="Arial" w:hAnsi="Arial" w:cs="Arial"/>
        </w:rPr>
        <w:t xml:space="preserve"> bags.</w:t>
      </w:r>
      <w:r w:rsidRPr="00C66220">
        <w:rPr>
          <w:rFonts w:ascii="Arial" w:hAnsi="Arial" w:cs="Arial"/>
        </w:rPr>
        <w:tab/>
      </w:r>
    </w:p>
    <w:p w14:paraId="5AE2AFD8" w14:textId="77777777" w:rsidR="00C66220" w:rsidRPr="00C66220" w:rsidRDefault="00C66220" w:rsidP="006055E5">
      <w:pPr>
        <w:numPr>
          <w:ilvl w:val="0"/>
          <w:numId w:val="37"/>
        </w:numPr>
        <w:spacing w:after="0" w:line="240" w:lineRule="auto"/>
        <w:ind w:left="720"/>
        <w:jc w:val="both"/>
        <w:rPr>
          <w:rFonts w:ascii="Arial" w:hAnsi="Arial" w:cs="Arial"/>
        </w:rPr>
      </w:pPr>
      <w:proofErr w:type="spellStart"/>
      <w:r w:rsidRPr="00C66220">
        <w:rPr>
          <w:rFonts w:ascii="Arial" w:hAnsi="Arial" w:cs="Arial"/>
        </w:rPr>
        <w:t>Leurlock</w:t>
      </w:r>
      <w:proofErr w:type="spellEnd"/>
      <w:r w:rsidRPr="00C66220">
        <w:rPr>
          <w:rFonts w:ascii="Arial" w:hAnsi="Arial" w:cs="Arial"/>
        </w:rPr>
        <w:t xml:space="preserve"> syringes are recommended.</w:t>
      </w:r>
    </w:p>
    <w:p w14:paraId="4580E7F8" w14:textId="77777777" w:rsidR="00C66220" w:rsidRPr="00C66220" w:rsidRDefault="00C66220" w:rsidP="006055E5">
      <w:pPr>
        <w:numPr>
          <w:ilvl w:val="0"/>
          <w:numId w:val="37"/>
        </w:numPr>
        <w:spacing w:after="0" w:line="240" w:lineRule="auto"/>
        <w:ind w:left="720"/>
        <w:jc w:val="both"/>
        <w:rPr>
          <w:rFonts w:ascii="Arial" w:hAnsi="Arial" w:cs="Arial"/>
        </w:rPr>
      </w:pPr>
      <w:r w:rsidRPr="00C66220">
        <w:rPr>
          <w:rFonts w:ascii="Arial" w:hAnsi="Arial" w:cs="Arial"/>
        </w:rPr>
        <w:t>The fume hood or approved containment must be cleaned upon completion of tasks.</w:t>
      </w:r>
    </w:p>
    <w:p w14:paraId="7D4FE5DD" w14:textId="77777777" w:rsidR="00C66220" w:rsidRPr="00C66220" w:rsidRDefault="00C66220" w:rsidP="006055E5">
      <w:pPr>
        <w:numPr>
          <w:ilvl w:val="0"/>
          <w:numId w:val="37"/>
        </w:numPr>
        <w:spacing w:after="0" w:line="240" w:lineRule="auto"/>
        <w:ind w:left="720"/>
        <w:jc w:val="both"/>
        <w:rPr>
          <w:rFonts w:ascii="Arial" w:hAnsi="Arial" w:cs="Arial"/>
        </w:rPr>
      </w:pPr>
      <w:r w:rsidRPr="00C66220">
        <w:rPr>
          <w:rFonts w:ascii="Arial" w:hAnsi="Arial" w:cs="Arial"/>
        </w:rPr>
        <w:t>Hands must be washed upon completion of tasks.</w:t>
      </w:r>
    </w:p>
    <w:p w14:paraId="7D324824" w14:textId="77777777" w:rsidR="00C66220" w:rsidRPr="00C66220" w:rsidRDefault="00C66220" w:rsidP="006055E5">
      <w:pPr>
        <w:spacing w:after="0" w:line="240" w:lineRule="auto"/>
        <w:ind w:left="720"/>
        <w:jc w:val="both"/>
        <w:rPr>
          <w:rFonts w:ascii="Arial" w:hAnsi="Arial" w:cs="Arial"/>
        </w:rPr>
      </w:pPr>
    </w:p>
    <w:p w14:paraId="0D068CD6" w14:textId="77777777" w:rsidR="00C66220" w:rsidRPr="00C66220" w:rsidRDefault="00C66220" w:rsidP="006055E5">
      <w:pPr>
        <w:jc w:val="both"/>
        <w:rPr>
          <w:rFonts w:ascii="Arial" w:hAnsi="Arial" w:cs="Arial"/>
          <w:b/>
        </w:rPr>
      </w:pPr>
      <w:r w:rsidRPr="00C66220">
        <w:rPr>
          <w:rFonts w:ascii="Arial" w:hAnsi="Arial" w:cs="Arial"/>
          <w:b/>
        </w:rPr>
        <w:t>PRECAUTIONS FOR AGENT ADMINISTRATION</w:t>
      </w:r>
    </w:p>
    <w:p w14:paraId="4F5595AE" w14:textId="77777777" w:rsidR="00C66220" w:rsidRPr="00C66220" w:rsidRDefault="00C66220" w:rsidP="006055E5">
      <w:pPr>
        <w:numPr>
          <w:ilvl w:val="0"/>
          <w:numId w:val="38"/>
        </w:numPr>
        <w:spacing w:after="0" w:line="240" w:lineRule="auto"/>
        <w:ind w:left="720" w:hanging="450"/>
        <w:jc w:val="both"/>
        <w:rPr>
          <w:rFonts w:ascii="Arial" w:hAnsi="Arial" w:cs="Arial"/>
        </w:rPr>
      </w:pPr>
      <w:r w:rsidRPr="00C66220">
        <w:rPr>
          <w:rFonts w:ascii="Arial" w:hAnsi="Arial" w:cs="Arial"/>
        </w:rPr>
        <w:t xml:space="preserve">Wear double gloves (nitrile) for all procedures involving </w:t>
      </w:r>
      <w:proofErr w:type="spellStart"/>
      <w:r w:rsidRPr="00C66220">
        <w:rPr>
          <w:rFonts w:ascii="Arial" w:hAnsi="Arial" w:cs="Arial"/>
        </w:rPr>
        <w:t>BrdU</w:t>
      </w:r>
      <w:proofErr w:type="spellEnd"/>
      <w:r w:rsidRPr="00C66220">
        <w:rPr>
          <w:rFonts w:ascii="Arial" w:hAnsi="Arial" w:cs="Arial"/>
        </w:rPr>
        <w:t xml:space="preserve"> administration.</w:t>
      </w:r>
    </w:p>
    <w:p w14:paraId="215C06EF" w14:textId="77777777" w:rsidR="00C66220" w:rsidRPr="00C66220" w:rsidRDefault="00C66220" w:rsidP="006055E5">
      <w:pPr>
        <w:numPr>
          <w:ilvl w:val="0"/>
          <w:numId w:val="38"/>
        </w:numPr>
        <w:spacing w:after="0" w:line="240" w:lineRule="auto"/>
        <w:ind w:left="720" w:hanging="450"/>
        <w:jc w:val="both"/>
        <w:rPr>
          <w:rFonts w:ascii="Arial" w:hAnsi="Arial" w:cs="Arial"/>
        </w:rPr>
      </w:pPr>
      <w:r w:rsidRPr="00C66220">
        <w:rPr>
          <w:rFonts w:ascii="Arial" w:hAnsi="Arial" w:cs="Arial"/>
        </w:rPr>
        <w:t xml:space="preserve">Use </w:t>
      </w:r>
      <w:proofErr w:type="spellStart"/>
      <w:r w:rsidRPr="00C66220">
        <w:rPr>
          <w:rFonts w:ascii="Arial" w:hAnsi="Arial" w:cs="Arial"/>
        </w:rPr>
        <w:t>leurlock</w:t>
      </w:r>
      <w:proofErr w:type="spellEnd"/>
      <w:r w:rsidRPr="00C66220">
        <w:rPr>
          <w:rFonts w:ascii="Arial" w:hAnsi="Arial" w:cs="Arial"/>
        </w:rPr>
        <w:t xml:space="preserve"> needles, if possible.</w:t>
      </w:r>
    </w:p>
    <w:p w14:paraId="6282C6AE" w14:textId="77777777" w:rsidR="00C66220" w:rsidRPr="00C66220" w:rsidRDefault="00C66220" w:rsidP="006055E5">
      <w:pPr>
        <w:numPr>
          <w:ilvl w:val="0"/>
          <w:numId w:val="38"/>
        </w:numPr>
        <w:spacing w:after="0" w:line="240" w:lineRule="auto"/>
        <w:ind w:left="720" w:hanging="450"/>
        <w:jc w:val="both"/>
        <w:rPr>
          <w:rFonts w:ascii="Arial" w:hAnsi="Arial" w:cs="Arial"/>
        </w:rPr>
      </w:pPr>
      <w:r w:rsidRPr="00C66220">
        <w:rPr>
          <w:rFonts w:ascii="Arial" w:hAnsi="Arial" w:cs="Arial"/>
        </w:rPr>
        <w:t>Dispose all waste material in the appropriate chemical waste container.</w:t>
      </w:r>
    </w:p>
    <w:p w14:paraId="4E0CE278" w14:textId="6781BC09" w:rsidR="00C66220" w:rsidRDefault="00C66220" w:rsidP="006055E5">
      <w:pPr>
        <w:spacing w:after="0" w:line="240" w:lineRule="auto"/>
        <w:ind w:left="720"/>
        <w:jc w:val="both"/>
        <w:rPr>
          <w:rFonts w:ascii="Arial" w:hAnsi="Arial" w:cs="Arial"/>
        </w:rPr>
      </w:pPr>
    </w:p>
    <w:p w14:paraId="77179163" w14:textId="77777777" w:rsidR="00A42C79" w:rsidRDefault="00A42C79" w:rsidP="006055E5">
      <w:pPr>
        <w:spacing w:after="0" w:line="240" w:lineRule="auto"/>
        <w:ind w:left="720"/>
        <w:jc w:val="both"/>
        <w:rPr>
          <w:rFonts w:ascii="Arial" w:hAnsi="Arial" w:cs="Arial"/>
        </w:rPr>
      </w:pPr>
    </w:p>
    <w:p w14:paraId="711ED266" w14:textId="77777777" w:rsidR="006055E5" w:rsidRPr="00C66220" w:rsidRDefault="006055E5" w:rsidP="006055E5">
      <w:pPr>
        <w:spacing w:after="0" w:line="240" w:lineRule="auto"/>
        <w:ind w:left="720"/>
        <w:jc w:val="both"/>
        <w:rPr>
          <w:rFonts w:ascii="Arial" w:hAnsi="Arial" w:cs="Arial"/>
        </w:rPr>
      </w:pPr>
    </w:p>
    <w:p w14:paraId="5F58E697" w14:textId="77777777" w:rsidR="00C66220" w:rsidRPr="00C66220" w:rsidRDefault="00C66220" w:rsidP="00A42C79">
      <w:pPr>
        <w:spacing w:after="120"/>
        <w:jc w:val="both"/>
        <w:rPr>
          <w:rFonts w:ascii="Arial" w:hAnsi="Arial" w:cs="Arial"/>
          <w:b/>
        </w:rPr>
      </w:pPr>
      <w:r w:rsidRPr="00C66220">
        <w:rPr>
          <w:rFonts w:ascii="Arial" w:hAnsi="Arial" w:cs="Arial"/>
          <w:b/>
        </w:rPr>
        <w:t>WASTE COLLECTION AND DISPOSAL</w:t>
      </w:r>
    </w:p>
    <w:p w14:paraId="70931641" w14:textId="77777777" w:rsidR="00C66220" w:rsidRPr="00C66220" w:rsidRDefault="00C66220" w:rsidP="006055E5">
      <w:pPr>
        <w:numPr>
          <w:ilvl w:val="0"/>
          <w:numId w:val="39"/>
        </w:numPr>
        <w:spacing w:after="0" w:line="240" w:lineRule="auto"/>
        <w:ind w:left="720" w:hanging="450"/>
        <w:jc w:val="both"/>
        <w:rPr>
          <w:rFonts w:ascii="Arial" w:hAnsi="Arial" w:cs="Arial"/>
        </w:rPr>
      </w:pPr>
      <w:proofErr w:type="spellStart"/>
      <w:r w:rsidRPr="00C66220">
        <w:rPr>
          <w:rFonts w:ascii="Arial" w:hAnsi="Arial" w:cs="Arial"/>
        </w:rPr>
        <w:lastRenderedPageBreak/>
        <w:t>BrdU</w:t>
      </w:r>
      <w:proofErr w:type="spellEnd"/>
      <w:r w:rsidRPr="00C66220">
        <w:rPr>
          <w:rFonts w:ascii="Arial" w:hAnsi="Arial" w:cs="Arial"/>
        </w:rPr>
        <w:t xml:space="preserve"> has a chemical waste characteristic of persistence.  Any full strength unused reagent , any mixtures containing 0.01% or more of </w:t>
      </w:r>
      <w:proofErr w:type="spellStart"/>
      <w:r w:rsidRPr="00C66220">
        <w:rPr>
          <w:rFonts w:ascii="Arial" w:hAnsi="Arial" w:cs="Arial"/>
        </w:rPr>
        <w:t>BrdU</w:t>
      </w:r>
      <w:proofErr w:type="spellEnd"/>
      <w:r w:rsidRPr="00C66220">
        <w:rPr>
          <w:rFonts w:ascii="Arial" w:hAnsi="Arial" w:cs="Arial"/>
        </w:rPr>
        <w:t xml:space="preserve"> , and any spill clean-up debris should be managed by EHS as fully regulated chemical waste.  </w:t>
      </w:r>
    </w:p>
    <w:p w14:paraId="55C9AEED" w14:textId="77777777" w:rsidR="00C66220" w:rsidRPr="00C66220" w:rsidRDefault="00C66220" w:rsidP="006055E5">
      <w:pPr>
        <w:numPr>
          <w:ilvl w:val="0"/>
          <w:numId w:val="39"/>
        </w:numPr>
        <w:spacing w:after="0" w:line="240" w:lineRule="auto"/>
        <w:ind w:left="720" w:hanging="450"/>
        <w:jc w:val="both"/>
        <w:rPr>
          <w:rFonts w:ascii="Arial" w:hAnsi="Arial" w:cs="Arial"/>
        </w:rPr>
      </w:pPr>
      <w:r w:rsidRPr="00C66220">
        <w:rPr>
          <w:rFonts w:ascii="Arial" w:hAnsi="Arial" w:cs="Arial"/>
        </w:rPr>
        <w:t>Seal filled chemical waste containers with the enclosed screw top.</w:t>
      </w:r>
    </w:p>
    <w:p w14:paraId="3548A8EB" w14:textId="77777777" w:rsidR="00C66220" w:rsidRPr="00C66220" w:rsidRDefault="00C66220" w:rsidP="006055E5">
      <w:pPr>
        <w:numPr>
          <w:ilvl w:val="0"/>
          <w:numId w:val="39"/>
        </w:numPr>
        <w:spacing w:after="0" w:line="240" w:lineRule="auto"/>
        <w:ind w:left="720" w:hanging="450"/>
        <w:jc w:val="both"/>
        <w:rPr>
          <w:rFonts w:ascii="Arial" w:hAnsi="Arial" w:cs="Arial"/>
        </w:rPr>
      </w:pPr>
      <w:r w:rsidRPr="00C66220">
        <w:rPr>
          <w:rFonts w:ascii="Arial" w:hAnsi="Arial" w:cs="Arial"/>
        </w:rPr>
        <w:t xml:space="preserve">For mixed waste (i.e. </w:t>
      </w:r>
      <w:proofErr w:type="spellStart"/>
      <w:r w:rsidRPr="00C66220">
        <w:rPr>
          <w:rFonts w:ascii="Arial" w:hAnsi="Arial" w:cs="Arial"/>
        </w:rPr>
        <w:t>BrdU</w:t>
      </w:r>
      <w:proofErr w:type="spellEnd"/>
      <w:r w:rsidRPr="00C66220">
        <w:rPr>
          <w:rFonts w:ascii="Arial" w:hAnsi="Arial" w:cs="Arial"/>
        </w:rPr>
        <w:t xml:space="preserve"> waste mixed with biohazard waste) consult with the RMMC at 307-766-3698.</w:t>
      </w:r>
    </w:p>
    <w:p w14:paraId="5E3C2C59" w14:textId="77777777" w:rsidR="006055E5" w:rsidRDefault="00C66220" w:rsidP="006055E5">
      <w:pPr>
        <w:numPr>
          <w:ilvl w:val="0"/>
          <w:numId w:val="39"/>
        </w:numPr>
        <w:spacing w:after="0" w:line="240" w:lineRule="auto"/>
        <w:ind w:left="720" w:hanging="450"/>
        <w:jc w:val="both"/>
        <w:rPr>
          <w:rFonts w:ascii="Arial" w:hAnsi="Arial" w:cs="Arial"/>
        </w:rPr>
      </w:pPr>
      <w:r w:rsidRPr="00C66220">
        <w:rPr>
          <w:rFonts w:ascii="Arial" w:hAnsi="Arial" w:cs="Arial"/>
        </w:rPr>
        <w:t>For pick-up, complete a Waste Request Form located at:</w:t>
      </w:r>
    </w:p>
    <w:p w14:paraId="7673E0DB" w14:textId="77777777" w:rsidR="00A42C79" w:rsidRDefault="003B3A6F" w:rsidP="00A42C79">
      <w:pPr>
        <w:spacing w:after="120" w:line="240" w:lineRule="auto"/>
        <w:ind w:left="720"/>
        <w:jc w:val="both"/>
        <w:rPr>
          <w:rStyle w:val="Hyperlink"/>
          <w:rFonts w:ascii="Arial" w:hAnsi="Arial" w:cs="Arial"/>
        </w:rPr>
      </w:pPr>
      <w:hyperlink r:id="rId8" w:history="1">
        <w:r w:rsidR="006055E5" w:rsidRPr="00467927">
          <w:rPr>
            <w:rStyle w:val="Hyperlink"/>
            <w:rFonts w:ascii="Arial" w:hAnsi="Arial" w:cs="Arial"/>
          </w:rPr>
          <w:t>http://www.uwyo.edu/safety</w:t>
        </w:r>
      </w:hyperlink>
    </w:p>
    <w:p w14:paraId="6E1CB5B2" w14:textId="6BECCCA6" w:rsidR="00C66220" w:rsidRPr="00A42C79" w:rsidRDefault="00C66220" w:rsidP="00A42C79">
      <w:pPr>
        <w:spacing w:after="120" w:line="240" w:lineRule="auto"/>
        <w:jc w:val="both"/>
        <w:rPr>
          <w:rFonts w:ascii="Arial" w:hAnsi="Arial" w:cs="Arial"/>
          <w:b/>
          <w:bCs/>
        </w:rPr>
      </w:pPr>
      <w:r w:rsidRPr="00A42C79">
        <w:rPr>
          <w:rFonts w:ascii="Arial" w:hAnsi="Arial" w:cs="Arial"/>
          <w:b/>
          <w:bCs/>
        </w:rPr>
        <w:t>CLEANING SPILLS</w:t>
      </w:r>
    </w:p>
    <w:p w14:paraId="0A0634F5" w14:textId="77777777" w:rsidR="00C66220" w:rsidRPr="00C66220" w:rsidRDefault="00C66220" w:rsidP="006055E5">
      <w:pPr>
        <w:numPr>
          <w:ilvl w:val="0"/>
          <w:numId w:val="40"/>
        </w:numPr>
        <w:spacing w:after="0" w:line="240" w:lineRule="auto"/>
        <w:ind w:left="720" w:hanging="450"/>
        <w:jc w:val="both"/>
        <w:rPr>
          <w:rFonts w:ascii="Arial" w:hAnsi="Arial" w:cs="Arial"/>
        </w:rPr>
      </w:pPr>
      <w:r w:rsidRPr="00C66220">
        <w:rPr>
          <w:rFonts w:ascii="Arial" w:hAnsi="Arial" w:cs="Arial"/>
        </w:rPr>
        <w:t xml:space="preserve">Spills must be cleaned immediately by properly protected trained personnel. </w:t>
      </w:r>
    </w:p>
    <w:p w14:paraId="2B2A57FF" w14:textId="77777777" w:rsidR="00C66220" w:rsidRPr="00C66220" w:rsidRDefault="00C66220" w:rsidP="006055E5">
      <w:pPr>
        <w:numPr>
          <w:ilvl w:val="0"/>
          <w:numId w:val="40"/>
        </w:numPr>
        <w:spacing w:after="0" w:line="240" w:lineRule="auto"/>
        <w:ind w:left="720" w:hanging="450"/>
        <w:jc w:val="both"/>
        <w:rPr>
          <w:rFonts w:ascii="Arial" w:hAnsi="Arial" w:cs="Arial"/>
        </w:rPr>
      </w:pPr>
      <w:r w:rsidRPr="00C66220">
        <w:rPr>
          <w:rFonts w:ascii="Arial" w:hAnsi="Arial" w:cs="Arial"/>
        </w:rPr>
        <w:t>Liquid Spills should be cleaned immediately by personnel wearing a gown, goggles, and two pairs of gloves (nitrile).  Use absorbent pads to wipe liquid.  The spill area should then be cleaned thoroughly with a detergent solution followed by clean water.  Place waste in plastic bag and then in the chemical waste container.</w:t>
      </w:r>
    </w:p>
    <w:p w14:paraId="127EA5EF" w14:textId="77777777" w:rsidR="00C66220" w:rsidRPr="00C66220" w:rsidRDefault="00C66220" w:rsidP="006055E5">
      <w:pPr>
        <w:numPr>
          <w:ilvl w:val="0"/>
          <w:numId w:val="40"/>
        </w:numPr>
        <w:spacing w:after="0" w:line="240" w:lineRule="auto"/>
        <w:ind w:left="720" w:hanging="450"/>
        <w:jc w:val="both"/>
        <w:rPr>
          <w:rFonts w:ascii="Arial" w:hAnsi="Arial" w:cs="Arial"/>
        </w:rPr>
      </w:pPr>
      <w:r w:rsidRPr="00C66220">
        <w:rPr>
          <w:rFonts w:ascii="Arial" w:hAnsi="Arial" w:cs="Arial"/>
        </w:rPr>
        <w:t>Powder Spills: should be cleaned immediately by personnel wearing a gown, goggles, and two pairs of gloves (nitrile).  For powder spills outside of a fume hood or approved containment, non-essential personnel should be instructed to leave the laboratory and entrance should be restricted. In addition to the above specified PPE, A respirator (requires enrollment in UW’s respirator program) should also be worn. The spill area should then be cleaned thoroughly with a detergent solution followed by clean water.  Place waste in a plastic bag and then in the chemical waste container.</w:t>
      </w:r>
    </w:p>
    <w:p w14:paraId="0F0769CA" w14:textId="77777777" w:rsidR="00A42C79" w:rsidRDefault="00C66220" w:rsidP="00A42C79">
      <w:pPr>
        <w:numPr>
          <w:ilvl w:val="0"/>
          <w:numId w:val="40"/>
        </w:numPr>
        <w:spacing w:after="0" w:line="240" w:lineRule="auto"/>
        <w:ind w:left="720" w:hanging="450"/>
        <w:jc w:val="both"/>
        <w:rPr>
          <w:rFonts w:ascii="Arial" w:hAnsi="Arial" w:cs="Arial"/>
        </w:rPr>
      </w:pPr>
      <w:r w:rsidRPr="00C66220">
        <w:rPr>
          <w:rFonts w:ascii="Arial" w:hAnsi="Arial" w:cs="Arial"/>
        </w:rPr>
        <w:t>For questions on approaching a sp</w:t>
      </w:r>
      <w:r>
        <w:rPr>
          <w:rFonts w:ascii="Arial" w:hAnsi="Arial" w:cs="Arial"/>
        </w:rPr>
        <w:t xml:space="preserve">ill clean-up, contact the </w:t>
      </w:r>
      <w:r w:rsidR="006055E5">
        <w:rPr>
          <w:rFonts w:ascii="Arial" w:hAnsi="Arial" w:cs="Arial"/>
        </w:rPr>
        <w:t>UW Safety</w:t>
      </w:r>
      <w:r>
        <w:rPr>
          <w:rFonts w:ascii="Arial" w:hAnsi="Arial" w:cs="Arial"/>
        </w:rPr>
        <w:t>-RMMC (766-3698)</w:t>
      </w:r>
      <w:r w:rsidRPr="00C66220">
        <w:rPr>
          <w:rFonts w:ascii="Arial" w:hAnsi="Arial" w:cs="Arial"/>
        </w:rPr>
        <w:t xml:space="preserve"> for guidance.</w:t>
      </w:r>
    </w:p>
    <w:p w14:paraId="518DA5C1" w14:textId="2A721FBC" w:rsidR="00C66220" w:rsidRPr="00A42C79" w:rsidRDefault="00C66220" w:rsidP="00A42C79">
      <w:pPr>
        <w:spacing w:before="120" w:after="120" w:line="240" w:lineRule="auto"/>
        <w:ind w:left="720"/>
        <w:jc w:val="both"/>
        <w:rPr>
          <w:rFonts w:ascii="Arial" w:hAnsi="Arial" w:cs="Arial"/>
        </w:rPr>
      </w:pPr>
      <w:r w:rsidRPr="00A42C79">
        <w:rPr>
          <w:rFonts w:ascii="Arial" w:hAnsi="Arial" w:cs="Arial"/>
        </w:rPr>
        <w:t>ACUTE EXPOSURE OF SPILLS</w:t>
      </w:r>
    </w:p>
    <w:p w14:paraId="627E21FE" w14:textId="77777777" w:rsidR="00C66220" w:rsidRPr="00C66220" w:rsidRDefault="00C66220" w:rsidP="006055E5">
      <w:pPr>
        <w:pStyle w:val="BodyTextIndent"/>
        <w:numPr>
          <w:ilvl w:val="0"/>
          <w:numId w:val="41"/>
        </w:numPr>
        <w:ind w:left="720" w:hanging="450"/>
        <w:jc w:val="both"/>
        <w:rPr>
          <w:rFonts w:ascii="Arial" w:hAnsi="Arial" w:cs="Arial"/>
          <w:sz w:val="22"/>
          <w:szCs w:val="22"/>
        </w:rPr>
      </w:pPr>
      <w:r w:rsidRPr="00C66220">
        <w:rPr>
          <w:rFonts w:ascii="Arial" w:hAnsi="Arial" w:cs="Arial"/>
          <w:sz w:val="22"/>
          <w:szCs w:val="22"/>
        </w:rPr>
        <w:t xml:space="preserve">In case of skin contact with </w:t>
      </w:r>
      <w:proofErr w:type="spellStart"/>
      <w:r w:rsidRPr="00C66220">
        <w:rPr>
          <w:rFonts w:ascii="Arial" w:hAnsi="Arial" w:cs="Arial"/>
          <w:sz w:val="22"/>
          <w:szCs w:val="22"/>
        </w:rPr>
        <w:t>BrdU</w:t>
      </w:r>
      <w:proofErr w:type="spellEnd"/>
      <w:r w:rsidRPr="00C66220">
        <w:rPr>
          <w:rFonts w:ascii="Arial" w:hAnsi="Arial" w:cs="Arial"/>
          <w:sz w:val="22"/>
          <w:szCs w:val="22"/>
        </w:rPr>
        <w:t>, wash the affected area with soap and water as soon as possib</w:t>
      </w:r>
      <w:r>
        <w:rPr>
          <w:rFonts w:ascii="Arial" w:hAnsi="Arial" w:cs="Arial"/>
          <w:sz w:val="22"/>
          <w:szCs w:val="22"/>
        </w:rPr>
        <w:t>le for at least 15 minutes.</w:t>
      </w:r>
    </w:p>
    <w:p w14:paraId="1BEAF5E0" w14:textId="77777777" w:rsidR="00C66220" w:rsidRPr="00C66220" w:rsidRDefault="00C66220" w:rsidP="006055E5">
      <w:pPr>
        <w:pStyle w:val="BodyTextIndent"/>
        <w:numPr>
          <w:ilvl w:val="0"/>
          <w:numId w:val="41"/>
        </w:numPr>
        <w:ind w:left="720" w:hanging="450"/>
        <w:jc w:val="both"/>
        <w:rPr>
          <w:rFonts w:ascii="Arial" w:hAnsi="Arial" w:cs="Arial"/>
          <w:sz w:val="22"/>
          <w:szCs w:val="22"/>
        </w:rPr>
      </w:pPr>
      <w:r w:rsidRPr="00C66220">
        <w:rPr>
          <w:rFonts w:ascii="Arial" w:hAnsi="Arial" w:cs="Arial"/>
          <w:sz w:val="22"/>
          <w:szCs w:val="22"/>
        </w:rPr>
        <w:t>For eye exposure, flush with water for at least 15 minutes.  Then go to the Ivinson Memorial Hospital Emergency Department.</w:t>
      </w:r>
    </w:p>
    <w:p w14:paraId="1FE75BBB" w14:textId="77777777" w:rsidR="00C66220" w:rsidRPr="00C66220" w:rsidRDefault="00C66220" w:rsidP="006055E5">
      <w:pPr>
        <w:pStyle w:val="BodyTextIndent"/>
        <w:numPr>
          <w:ilvl w:val="0"/>
          <w:numId w:val="41"/>
        </w:numPr>
        <w:ind w:left="720" w:hanging="450"/>
        <w:jc w:val="both"/>
        <w:rPr>
          <w:rFonts w:ascii="Arial" w:hAnsi="Arial" w:cs="Arial"/>
          <w:sz w:val="22"/>
          <w:szCs w:val="22"/>
        </w:rPr>
      </w:pPr>
      <w:r w:rsidRPr="00C66220">
        <w:rPr>
          <w:rFonts w:ascii="Arial" w:hAnsi="Arial" w:cs="Arial"/>
          <w:sz w:val="22"/>
          <w:szCs w:val="22"/>
        </w:rPr>
        <w:t>Report incident to supervisor. Supervisor reports the accident/injury.</w:t>
      </w:r>
    </w:p>
    <w:p w14:paraId="09B6E81C" w14:textId="77777777" w:rsidR="00C66220" w:rsidRPr="00C66220" w:rsidRDefault="00C66220" w:rsidP="006055E5">
      <w:pPr>
        <w:jc w:val="both"/>
        <w:rPr>
          <w:rFonts w:ascii="Arial" w:hAnsi="Arial" w:cs="Arial"/>
        </w:rPr>
      </w:pPr>
    </w:p>
    <w:tbl>
      <w:tblPr>
        <w:tblW w:w="0" w:type="auto"/>
        <w:tblInd w:w="300" w:type="dxa"/>
        <w:tblLayout w:type="fixed"/>
        <w:tblCellMar>
          <w:left w:w="120" w:type="dxa"/>
          <w:right w:w="120" w:type="dxa"/>
        </w:tblCellMar>
        <w:tblLook w:val="0000" w:firstRow="0" w:lastRow="0" w:firstColumn="0" w:lastColumn="0" w:noHBand="0" w:noVBand="0"/>
      </w:tblPr>
      <w:tblGrid>
        <w:gridCol w:w="9900"/>
      </w:tblGrid>
      <w:tr w:rsidR="00C66220" w:rsidRPr="00C66220" w14:paraId="31FD6411" w14:textId="77777777" w:rsidTr="008C1EC7">
        <w:tc>
          <w:tcPr>
            <w:tcW w:w="9900" w:type="dxa"/>
            <w:tcBorders>
              <w:top w:val="double" w:sz="7" w:space="0" w:color="000000"/>
              <w:left w:val="single" w:sz="7" w:space="0" w:color="000000"/>
              <w:bottom w:val="single" w:sz="7" w:space="0" w:color="000000"/>
              <w:right w:val="single" w:sz="7" w:space="0" w:color="000000"/>
            </w:tcBorders>
          </w:tcPr>
          <w:p w14:paraId="48F31F1C" w14:textId="77777777" w:rsidR="00C66220" w:rsidRPr="00C66220" w:rsidRDefault="00C66220" w:rsidP="006055E5">
            <w:pPr>
              <w:tabs>
                <w:tab w:val="left" w:pos="5460"/>
              </w:tabs>
              <w:spacing w:before="60"/>
              <w:jc w:val="both"/>
              <w:rPr>
                <w:rFonts w:ascii="Arial" w:hAnsi="Arial" w:cs="Arial"/>
                <w:color w:val="000000"/>
              </w:rPr>
            </w:pPr>
            <w:r w:rsidRPr="00C66220">
              <w:rPr>
                <w:rFonts w:ascii="Arial" w:hAnsi="Arial" w:cs="Arial"/>
                <w:color w:val="000000"/>
              </w:rPr>
              <w:t>Name (print) (Assessor):</w:t>
            </w:r>
            <w:r w:rsidRPr="00C66220">
              <w:rPr>
                <w:rFonts w:ascii="Arial" w:hAnsi="Arial" w:cs="Arial"/>
                <w:color w:val="000000"/>
              </w:rPr>
              <w:tab/>
            </w:r>
            <w:r>
              <w:rPr>
                <w:rFonts w:ascii="Arial" w:hAnsi="Arial" w:cs="Arial"/>
                <w:color w:val="000000"/>
              </w:rPr>
              <w:t xml:space="preserve">                </w:t>
            </w:r>
            <w:r w:rsidRPr="00C66220">
              <w:rPr>
                <w:rFonts w:ascii="Arial" w:hAnsi="Arial" w:cs="Arial"/>
                <w:color w:val="000000"/>
              </w:rPr>
              <w:t>Title:</w:t>
            </w:r>
          </w:p>
        </w:tc>
      </w:tr>
      <w:tr w:rsidR="00C66220" w:rsidRPr="00C66220" w14:paraId="26940882" w14:textId="77777777" w:rsidTr="008C1EC7">
        <w:tc>
          <w:tcPr>
            <w:tcW w:w="9900" w:type="dxa"/>
            <w:tcBorders>
              <w:top w:val="single" w:sz="7" w:space="0" w:color="000000"/>
              <w:left w:val="single" w:sz="7" w:space="0" w:color="000000"/>
              <w:bottom w:val="single" w:sz="7" w:space="0" w:color="000000"/>
              <w:right w:val="single" w:sz="7" w:space="0" w:color="000000"/>
            </w:tcBorders>
          </w:tcPr>
          <w:p w14:paraId="60F4B36B" w14:textId="77777777" w:rsidR="00C66220" w:rsidRPr="00C66220" w:rsidRDefault="00C66220" w:rsidP="006055E5">
            <w:pPr>
              <w:tabs>
                <w:tab w:val="left" w:pos="6450"/>
              </w:tabs>
              <w:spacing w:before="60"/>
              <w:jc w:val="both"/>
              <w:rPr>
                <w:rFonts w:ascii="Arial" w:hAnsi="Arial" w:cs="Arial"/>
                <w:color w:val="000000"/>
              </w:rPr>
            </w:pPr>
            <w:r w:rsidRPr="00C66220">
              <w:rPr>
                <w:rFonts w:ascii="Arial" w:hAnsi="Arial" w:cs="Arial"/>
                <w:color w:val="000000"/>
              </w:rPr>
              <w:t>Signature (Assessor):</w:t>
            </w:r>
            <w:r w:rsidRPr="00C66220">
              <w:rPr>
                <w:rFonts w:ascii="Arial" w:hAnsi="Arial" w:cs="Arial"/>
                <w:color w:val="000000"/>
              </w:rPr>
              <w:tab/>
              <w:t xml:space="preserve">Date:                                     </w:t>
            </w:r>
          </w:p>
        </w:tc>
      </w:tr>
      <w:tr w:rsidR="00C66220" w:rsidRPr="00C66220" w14:paraId="4B586BD6" w14:textId="77777777" w:rsidTr="008C1EC7">
        <w:tc>
          <w:tcPr>
            <w:tcW w:w="9900" w:type="dxa"/>
            <w:tcBorders>
              <w:top w:val="single" w:sz="7" w:space="0" w:color="000000"/>
              <w:left w:val="single" w:sz="7" w:space="0" w:color="000000"/>
              <w:bottom w:val="single" w:sz="7" w:space="0" w:color="000000"/>
              <w:right w:val="single" w:sz="7" w:space="0" w:color="000000"/>
            </w:tcBorders>
          </w:tcPr>
          <w:p w14:paraId="181727A4" w14:textId="77777777" w:rsidR="00C66220" w:rsidRPr="00C66220" w:rsidRDefault="00C66220" w:rsidP="006055E5">
            <w:pPr>
              <w:tabs>
                <w:tab w:val="left" w:pos="6450"/>
              </w:tabs>
              <w:spacing w:before="60"/>
              <w:jc w:val="both"/>
              <w:rPr>
                <w:rFonts w:ascii="Arial" w:hAnsi="Arial" w:cs="Arial"/>
                <w:color w:val="000000"/>
              </w:rPr>
            </w:pPr>
            <w:r w:rsidRPr="00C66220">
              <w:rPr>
                <w:rFonts w:ascii="Arial" w:hAnsi="Arial" w:cs="Arial"/>
                <w:color w:val="000000"/>
              </w:rPr>
              <w:t>Name (print) (PI, Lab Manager, or Unit Head):</w:t>
            </w:r>
            <w:r w:rsidRPr="00C66220">
              <w:rPr>
                <w:rFonts w:ascii="Arial" w:hAnsi="Arial" w:cs="Arial"/>
                <w:color w:val="000000"/>
              </w:rPr>
              <w:tab/>
              <w:t>Title:</w:t>
            </w:r>
          </w:p>
        </w:tc>
      </w:tr>
      <w:tr w:rsidR="00C66220" w:rsidRPr="00C66220" w14:paraId="68181AF0" w14:textId="77777777" w:rsidTr="008C1EC7">
        <w:tc>
          <w:tcPr>
            <w:tcW w:w="9900" w:type="dxa"/>
            <w:tcBorders>
              <w:top w:val="single" w:sz="7" w:space="0" w:color="000000"/>
              <w:left w:val="single" w:sz="7" w:space="0" w:color="000000"/>
              <w:bottom w:val="single" w:sz="7" w:space="0" w:color="000000"/>
              <w:right w:val="single" w:sz="7" w:space="0" w:color="000000"/>
            </w:tcBorders>
          </w:tcPr>
          <w:p w14:paraId="1A2DBF7F" w14:textId="77777777" w:rsidR="00C66220" w:rsidRPr="00C66220" w:rsidRDefault="00C66220" w:rsidP="006055E5">
            <w:pPr>
              <w:tabs>
                <w:tab w:val="left" w:pos="6450"/>
              </w:tabs>
              <w:spacing w:before="60"/>
              <w:jc w:val="both"/>
              <w:rPr>
                <w:rFonts w:ascii="Arial" w:hAnsi="Arial" w:cs="Arial"/>
                <w:color w:val="000000"/>
              </w:rPr>
            </w:pPr>
            <w:r w:rsidRPr="00C66220">
              <w:rPr>
                <w:rFonts w:ascii="Arial" w:hAnsi="Arial" w:cs="Arial"/>
                <w:color w:val="000000"/>
              </w:rPr>
              <w:t>Signature (PI, Lab Manager, or Unit Head):</w:t>
            </w:r>
            <w:r w:rsidRPr="00C66220">
              <w:rPr>
                <w:rFonts w:ascii="Arial" w:hAnsi="Arial" w:cs="Arial"/>
                <w:color w:val="000000"/>
              </w:rPr>
              <w:tab/>
              <w:t xml:space="preserve">Date:                                     </w:t>
            </w:r>
          </w:p>
        </w:tc>
      </w:tr>
      <w:tr w:rsidR="00C66220" w:rsidRPr="00C66220" w14:paraId="2C073A81" w14:textId="77777777" w:rsidTr="008C1EC7">
        <w:tc>
          <w:tcPr>
            <w:tcW w:w="9900" w:type="dxa"/>
            <w:tcBorders>
              <w:top w:val="single" w:sz="7" w:space="0" w:color="000000"/>
              <w:left w:val="single" w:sz="7" w:space="0" w:color="000000"/>
              <w:bottom w:val="single" w:sz="7" w:space="0" w:color="000000"/>
              <w:right w:val="single" w:sz="7" w:space="0" w:color="000000"/>
            </w:tcBorders>
          </w:tcPr>
          <w:p w14:paraId="7FCE650A" w14:textId="710DB7E0" w:rsidR="00C66220" w:rsidRPr="00C66220" w:rsidRDefault="00C66220" w:rsidP="006055E5">
            <w:pPr>
              <w:tabs>
                <w:tab w:val="left" w:pos="6450"/>
              </w:tabs>
              <w:spacing w:before="60"/>
              <w:jc w:val="both"/>
              <w:rPr>
                <w:rFonts w:ascii="Arial" w:hAnsi="Arial" w:cs="Arial"/>
                <w:color w:val="000000"/>
              </w:rPr>
            </w:pPr>
            <w:r w:rsidRPr="00C66220">
              <w:rPr>
                <w:rFonts w:ascii="Arial" w:hAnsi="Arial" w:cs="Arial"/>
                <w:color w:val="000000"/>
              </w:rPr>
              <w:t xml:space="preserve"> Date Sent to </w:t>
            </w:r>
            <w:r w:rsidR="006055E5">
              <w:rPr>
                <w:rFonts w:ascii="Arial" w:hAnsi="Arial" w:cs="Arial"/>
                <w:color w:val="000000"/>
              </w:rPr>
              <w:t>UW Safety</w:t>
            </w:r>
            <w:r w:rsidRPr="00C66220">
              <w:rPr>
                <w:rFonts w:ascii="Arial" w:hAnsi="Arial" w:cs="Arial"/>
                <w:color w:val="000000"/>
              </w:rPr>
              <w:t>:</w:t>
            </w:r>
            <w:r w:rsidRPr="00C66220">
              <w:rPr>
                <w:rFonts w:ascii="Arial" w:hAnsi="Arial" w:cs="Arial"/>
                <w:color w:val="000000"/>
              </w:rPr>
              <w:tab/>
              <w:t xml:space="preserve">                                      </w:t>
            </w:r>
          </w:p>
        </w:tc>
      </w:tr>
    </w:tbl>
    <w:p w14:paraId="2C5C22BC" w14:textId="77777777" w:rsidR="00002BFA" w:rsidRPr="00C66220" w:rsidRDefault="00002BFA" w:rsidP="006055E5">
      <w:pPr>
        <w:ind w:left="720"/>
        <w:jc w:val="both"/>
        <w:rPr>
          <w:rFonts w:ascii="Arial" w:hAnsi="Arial" w:cs="Arial"/>
        </w:rPr>
      </w:pPr>
    </w:p>
    <w:sectPr w:rsidR="00002BFA" w:rsidRPr="00C66220" w:rsidSect="006055E5">
      <w:headerReference w:type="default" r:id="rId9"/>
      <w:footerReference w:type="default" r:id="rId10"/>
      <w:headerReference w:type="first" r:id="rId11"/>
      <w:footerReference w:type="first" r:id="rId12"/>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04242" w14:textId="77777777" w:rsidR="00317D5A" w:rsidRDefault="00317D5A" w:rsidP="00791DCE">
      <w:pPr>
        <w:spacing w:after="0" w:line="240" w:lineRule="auto"/>
      </w:pPr>
      <w:r>
        <w:separator/>
      </w:r>
    </w:p>
  </w:endnote>
  <w:endnote w:type="continuationSeparator" w:id="0">
    <w:p w14:paraId="793DE437" w14:textId="77777777" w:rsidR="00317D5A" w:rsidRDefault="00317D5A"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46404802"/>
      <w:docPartObj>
        <w:docPartGallery w:val="Page Numbers (Bottom of Page)"/>
        <w:docPartUnique/>
      </w:docPartObj>
    </w:sdtPr>
    <w:sdtEndPr/>
    <w:sdtContent>
      <w:sdt>
        <w:sdtPr>
          <w:rPr>
            <w:sz w:val="20"/>
            <w:szCs w:val="20"/>
          </w:rPr>
          <w:id w:val="773916700"/>
          <w:docPartObj>
            <w:docPartGallery w:val="Page Numbers (Top of Page)"/>
            <w:docPartUnique/>
          </w:docPartObj>
        </w:sdtPr>
        <w:sdtEndPr/>
        <w:sdtContent>
          <w:p w14:paraId="5CE848C9" w14:textId="7C6A827A" w:rsidR="00D144A6" w:rsidRPr="006055E5" w:rsidRDefault="006055E5">
            <w:pPr>
              <w:pStyle w:val="Footer"/>
              <w:rPr>
                <w:rFonts w:eastAsia="Times New Roman"/>
                <w:sz w:val="20"/>
                <w:szCs w:val="20"/>
              </w:rPr>
            </w:pPr>
            <w:r w:rsidRPr="006620EE">
              <w:rPr>
                <w:sz w:val="20"/>
                <w:szCs w:val="20"/>
              </w:rPr>
              <w:t>Reviewed &amp; Revised</w:t>
            </w:r>
            <w:r>
              <w:rPr>
                <w:sz w:val="20"/>
                <w:szCs w:val="20"/>
              </w:rPr>
              <w:t xml:space="preserve"> </w:t>
            </w:r>
            <w:r w:rsidR="009A24AF">
              <w:rPr>
                <w:sz w:val="20"/>
                <w:szCs w:val="20"/>
              </w:rPr>
              <w:t>10</w:t>
            </w:r>
            <w:r>
              <w:rPr>
                <w:sz w:val="20"/>
                <w:szCs w:val="20"/>
              </w:rPr>
              <w:t>-20</w:t>
            </w:r>
            <w:r w:rsidR="009A24AF">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2</w:t>
            </w:r>
            <w:r w:rsidRPr="006620E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4281429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3756D03" w14:textId="58355833" w:rsidR="00D144A6" w:rsidRPr="006055E5" w:rsidRDefault="006055E5">
            <w:pPr>
              <w:pStyle w:val="Footer"/>
              <w:rPr>
                <w:rFonts w:eastAsia="Times New Roman"/>
                <w:sz w:val="20"/>
                <w:szCs w:val="20"/>
              </w:rPr>
            </w:pPr>
            <w:r w:rsidRPr="006620EE">
              <w:rPr>
                <w:sz w:val="20"/>
                <w:szCs w:val="20"/>
              </w:rPr>
              <w:t>Reviewed &amp; Revised</w:t>
            </w:r>
            <w:r>
              <w:rPr>
                <w:sz w:val="20"/>
                <w:szCs w:val="20"/>
              </w:rPr>
              <w:t xml:space="preserve"> </w:t>
            </w:r>
            <w:r w:rsidR="009A24AF">
              <w:rPr>
                <w:sz w:val="20"/>
                <w:szCs w:val="20"/>
              </w:rPr>
              <w:t>10-</w:t>
            </w:r>
            <w:r>
              <w:rPr>
                <w:sz w:val="20"/>
                <w:szCs w:val="20"/>
              </w:rPr>
              <w:t>20</w:t>
            </w:r>
            <w:r w:rsidR="009A24AF">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7DE2" w14:textId="77777777" w:rsidR="00317D5A" w:rsidRDefault="00317D5A" w:rsidP="00791DCE">
      <w:pPr>
        <w:spacing w:after="0" w:line="240" w:lineRule="auto"/>
      </w:pPr>
      <w:r>
        <w:separator/>
      </w:r>
    </w:p>
  </w:footnote>
  <w:footnote w:type="continuationSeparator" w:id="0">
    <w:p w14:paraId="1E9F7EAC" w14:textId="77777777" w:rsidR="00317D5A" w:rsidRDefault="00317D5A"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EECE" w14:textId="10D5973D" w:rsidR="00D144A6" w:rsidRPr="00880E15" w:rsidRDefault="003B3A6F" w:rsidP="00791DCE">
    <w:pPr>
      <w:pStyle w:val="Header"/>
      <w:rPr>
        <w:rFonts w:ascii="Arial" w:hAnsi="Arial" w:cs="Arial"/>
        <w:sz w:val="24"/>
        <w:szCs w:val="24"/>
      </w:rPr>
    </w:pPr>
    <w:r>
      <w:rPr>
        <w:noProof/>
        <w:sz w:val="48"/>
        <w:szCs w:val="48"/>
      </w:rPr>
      <w:drawing>
        <wp:anchor distT="0" distB="0" distL="114300" distR="114300" simplePos="0" relativeHeight="251668480" behindDoc="0" locked="0" layoutInCell="1" allowOverlap="0" wp14:anchorId="77A23981" wp14:editId="2058D345">
          <wp:simplePos x="0" y="0"/>
          <wp:positionH relativeFrom="column">
            <wp:posOffset>4162425</wp:posOffset>
          </wp:positionH>
          <wp:positionV relativeFrom="page">
            <wp:posOffset>200025</wp:posOffset>
          </wp:positionV>
          <wp:extent cx="2423160" cy="7588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03CB4CF3"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A4BD" w14:textId="29CB1A50" w:rsidR="00D144A6" w:rsidRPr="00880E15" w:rsidRDefault="009A24AF" w:rsidP="00593809">
    <w:pPr>
      <w:pStyle w:val="Header"/>
      <w:rPr>
        <w:rFonts w:ascii="Arial" w:hAnsi="Arial" w:cs="Arial"/>
        <w:sz w:val="24"/>
        <w:szCs w:val="24"/>
      </w:rPr>
    </w:pPr>
    <w:r>
      <w:rPr>
        <w:noProof/>
        <w:sz w:val="48"/>
        <w:szCs w:val="48"/>
      </w:rPr>
      <w:drawing>
        <wp:anchor distT="0" distB="0" distL="114300" distR="114300" simplePos="0" relativeHeight="251664384" behindDoc="0" locked="0" layoutInCell="1" allowOverlap="0" wp14:anchorId="22D49986" wp14:editId="48ECD72F">
          <wp:simplePos x="0" y="0"/>
          <wp:positionH relativeFrom="column">
            <wp:posOffset>4219575</wp:posOffset>
          </wp:positionH>
          <wp:positionV relativeFrom="page">
            <wp:posOffset>209550</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220">
      <w:rPr>
        <w:rFonts w:ascii="Arial" w:hAnsi="Arial" w:cs="Arial"/>
        <w:sz w:val="24"/>
        <w:szCs w:val="24"/>
      </w:rPr>
      <w:t>Chemical Process</w:t>
    </w:r>
    <w:r w:rsidR="008D40EF">
      <w:rPr>
        <w:rFonts w:ascii="Arial" w:hAnsi="Arial" w:cs="Arial"/>
        <w:sz w:val="24"/>
        <w:szCs w:val="24"/>
      </w:rPr>
      <w:t xml:space="preserve"> S</w:t>
    </w:r>
    <w:r w:rsidR="009174CF">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419DA873" w14:textId="77777777"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DFC022B"/>
    <w:multiLevelType w:val="hybridMultilevel"/>
    <w:tmpl w:val="A32A1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0"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353985"/>
    <w:multiLevelType w:val="hybridMultilevel"/>
    <w:tmpl w:val="DD92E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0D6D9E"/>
    <w:multiLevelType w:val="hybridMultilevel"/>
    <w:tmpl w:val="28C46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594E25"/>
    <w:multiLevelType w:val="hybridMultilevel"/>
    <w:tmpl w:val="6F7C6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670C2C"/>
    <w:multiLevelType w:val="hybridMultilevel"/>
    <w:tmpl w:val="27262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C25C62"/>
    <w:multiLevelType w:val="hybridMultilevel"/>
    <w:tmpl w:val="EE8E5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9D4C77"/>
    <w:multiLevelType w:val="hybridMultilevel"/>
    <w:tmpl w:val="4F445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35"/>
  </w:num>
  <w:num w:numId="4">
    <w:abstractNumId w:val="39"/>
  </w:num>
  <w:num w:numId="5">
    <w:abstractNumId w:val="8"/>
  </w:num>
  <w:num w:numId="6">
    <w:abstractNumId w:val="4"/>
  </w:num>
  <w:num w:numId="7">
    <w:abstractNumId w:val="31"/>
  </w:num>
  <w:num w:numId="8">
    <w:abstractNumId w:val="9"/>
  </w:num>
  <w:num w:numId="9">
    <w:abstractNumId w:val="22"/>
  </w:num>
  <w:num w:numId="10">
    <w:abstractNumId w:val="29"/>
  </w:num>
  <w:num w:numId="11">
    <w:abstractNumId w:val="5"/>
  </w:num>
  <w:num w:numId="12">
    <w:abstractNumId w:val="3"/>
  </w:num>
  <w:num w:numId="13">
    <w:abstractNumId w:val="6"/>
  </w:num>
  <w:num w:numId="14">
    <w:abstractNumId w:val="19"/>
  </w:num>
  <w:num w:numId="15">
    <w:abstractNumId w:val="13"/>
  </w:num>
  <w:num w:numId="16">
    <w:abstractNumId w:val="15"/>
  </w:num>
  <w:num w:numId="17">
    <w:abstractNumId w:val="30"/>
  </w:num>
  <w:num w:numId="18">
    <w:abstractNumId w:val="11"/>
  </w:num>
  <w:num w:numId="19">
    <w:abstractNumId w:val="23"/>
  </w:num>
  <w:num w:numId="20">
    <w:abstractNumId w:val="18"/>
  </w:num>
  <w:num w:numId="21">
    <w:abstractNumId w:val="40"/>
  </w:num>
  <w:num w:numId="22">
    <w:abstractNumId w:val="24"/>
  </w:num>
  <w:num w:numId="23">
    <w:abstractNumId w:val="32"/>
  </w:num>
  <w:num w:numId="24">
    <w:abstractNumId w:val="38"/>
  </w:num>
  <w:num w:numId="25">
    <w:abstractNumId w:val="25"/>
  </w:num>
  <w:num w:numId="26">
    <w:abstractNumId w:val="10"/>
  </w:num>
  <w:num w:numId="27">
    <w:abstractNumId w:val="12"/>
  </w:num>
  <w:num w:numId="28">
    <w:abstractNumId w:val="17"/>
  </w:num>
  <w:num w:numId="29">
    <w:abstractNumId w:val="2"/>
  </w:num>
  <w:num w:numId="30">
    <w:abstractNumId w:val="16"/>
  </w:num>
  <w:num w:numId="31">
    <w:abstractNumId w:val="36"/>
  </w:num>
  <w:num w:numId="32">
    <w:abstractNumId w:val="0"/>
  </w:num>
  <w:num w:numId="33">
    <w:abstractNumId w:val="20"/>
  </w:num>
  <w:num w:numId="34">
    <w:abstractNumId w:val="7"/>
  </w:num>
  <w:num w:numId="35">
    <w:abstractNumId w:val="33"/>
  </w:num>
  <w:num w:numId="36">
    <w:abstractNumId w:val="28"/>
  </w:num>
  <w:num w:numId="37">
    <w:abstractNumId w:val="14"/>
  </w:num>
  <w:num w:numId="38">
    <w:abstractNumId w:val="37"/>
  </w:num>
  <w:num w:numId="39">
    <w:abstractNumId w:val="26"/>
  </w:num>
  <w:num w:numId="40">
    <w:abstractNumId w:val="2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CE"/>
    <w:rsid w:val="00002BFA"/>
    <w:rsid w:val="00025526"/>
    <w:rsid w:val="00041128"/>
    <w:rsid w:val="00050529"/>
    <w:rsid w:val="000519D9"/>
    <w:rsid w:val="00052753"/>
    <w:rsid w:val="00064CE1"/>
    <w:rsid w:val="0009183B"/>
    <w:rsid w:val="00094DF5"/>
    <w:rsid w:val="000C16A6"/>
    <w:rsid w:val="000C5690"/>
    <w:rsid w:val="00112DED"/>
    <w:rsid w:val="00146FDE"/>
    <w:rsid w:val="00160092"/>
    <w:rsid w:val="001749F2"/>
    <w:rsid w:val="001C0A18"/>
    <w:rsid w:val="001C6D5E"/>
    <w:rsid w:val="001E251E"/>
    <w:rsid w:val="001E5368"/>
    <w:rsid w:val="001F009C"/>
    <w:rsid w:val="001F5924"/>
    <w:rsid w:val="00207C03"/>
    <w:rsid w:val="002161B3"/>
    <w:rsid w:val="002233AE"/>
    <w:rsid w:val="00225A6A"/>
    <w:rsid w:val="00226B54"/>
    <w:rsid w:val="00264B99"/>
    <w:rsid w:val="002B5567"/>
    <w:rsid w:val="002B7CDD"/>
    <w:rsid w:val="002C03DA"/>
    <w:rsid w:val="002C7A79"/>
    <w:rsid w:val="002E13BD"/>
    <w:rsid w:val="002E35E8"/>
    <w:rsid w:val="002F7053"/>
    <w:rsid w:val="00301861"/>
    <w:rsid w:val="00305641"/>
    <w:rsid w:val="00317D5A"/>
    <w:rsid w:val="00332EB2"/>
    <w:rsid w:val="00343304"/>
    <w:rsid w:val="00344F43"/>
    <w:rsid w:val="00392D36"/>
    <w:rsid w:val="0039721A"/>
    <w:rsid w:val="003B11CA"/>
    <w:rsid w:val="003B3A6F"/>
    <w:rsid w:val="003B73DB"/>
    <w:rsid w:val="003C0C99"/>
    <w:rsid w:val="003C2195"/>
    <w:rsid w:val="003D3C49"/>
    <w:rsid w:val="003D7018"/>
    <w:rsid w:val="003F063D"/>
    <w:rsid w:val="0040497F"/>
    <w:rsid w:val="00424118"/>
    <w:rsid w:val="0046178C"/>
    <w:rsid w:val="004B0494"/>
    <w:rsid w:val="004F0832"/>
    <w:rsid w:val="00505187"/>
    <w:rsid w:val="00526AFD"/>
    <w:rsid w:val="00530CBB"/>
    <w:rsid w:val="0056357D"/>
    <w:rsid w:val="00570987"/>
    <w:rsid w:val="00585DFF"/>
    <w:rsid w:val="00592047"/>
    <w:rsid w:val="00593809"/>
    <w:rsid w:val="005956E6"/>
    <w:rsid w:val="005B4EF7"/>
    <w:rsid w:val="005C19F5"/>
    <w:rsid w:val="005D76CB"/>
    <w:rsid w:val="00600680"/>
    <w:rsid w:val="00603670"/>
    <w:rsid w:val="006055E5"/>
    <w:rsid w:val="00615833"/>
    <w:rsid w:val="006249ED"/>
    <w:rsid w:val="00655065"/>
    <w:rsid w:val="006602B4"/>
    <w:rsid w:val="006B17B8"/>
    <w:rsid w:val="006C3056"/>
    <w:rsid w:val="006C3E78"/>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3510"/>
    <w:rsid w:val="00825750"/>
    <w:rsid w:val="00840EE6"/>
    <w:rsid w:val="00861B14"/>
    <w:rsid w:val="00881BA6"/>
    <w:rsid w:val="008822CB"/>
    <w:rsid w:val="00886E41"/>
    <w:rsid w:val="00894557"/>
    <w:rsid w:val="008C25A7"/>
    <w:rsid w:val="008D40EF"/>
    <w:rsid w:val="008E0909"/>
    <w:rsid w:val="008F51E9"/>
    <w:rsid w:val="00904284"/>
    <w:rsid w:val="0090627E"/>
    <w:rsid w:val="00914AA3"/>
    <w:rsid w:val="009174CF"/>
    <w:rsid w:val="009426B6"/>
    <w:rsid w:val="00977F4C"/>
    <w:rsid w:val="009865EE"/>
    <w:rsid w:val="009A24AF"/>
    <w:rsid w:val="009B3C83"/>
    <w:rsid w:val="00A04E84"/>
    <w:rsid w:val="00A06103"/>
    <w:rsid w:val="00A1131D"/>
    <w:rsid w:val="00A13AA6"/>
    <w:rsid w:val="00A24DD4"/>
    <w:rsid w:val="00A42C79"/>
    <w:rsid w:val="00A50EFF"/>
    <w:rsid w:val="00A67530"/>
    <w:rsid w:val="00A7436D"/>
    <w:rsid w:val="00A90751"/>
    <w:rsid w:val="00A93C5C"/>
    <w:rsid w:val="00A94281"/>
    <w:rsid w:val="00B0390F"/>
    <w:rsid w:val="00B2371C"/>
    <w:rsid w:val="00B27D25"/>
    <w:rsid w:val="00B61B5C"/>
    <w:rsid w:val="00B724A9"/>
    <w:rsid w:val="00B94DC7"/>
    <w:rsid w:val="00BA1F99"/>
    <w:rsid w:val="00BB1BB9"/>
    <w:rsid w:val="00BB2FEF"/>
    <w:rsid w:val="00BC1306"/>
    <w:rsid w:val="00BC3C68"/>
    <w:rsid w:val="00BE57CC"/>
    <w:rsid w:val="00BF6CC5"/>
    <w:rsid w:val="00BF6E01"/>
    <w:rsid w:val="00C65B52"/>
    <w:rsid w:val="00C65D2D"/>
    <w:rsid w:val="00C66220"/>
    <w:rsid w:val="00C824B3"/>
    <w:rsid w:val="00CA40B8"/>
    <w:rsid w:val="00CB1DF3"/>
    <w:rsid w:val="00CC2D4E"/>
    <w:rsid w:val="00CC5292"/>
    <w:rsid w:val="00CC7A50"/>
    <w:rsid w:val="00CD4B41"/>
    <w:rsid w:val="00CD4F14"/>
    <w:rsid w:val="00CE7EE0"/>
    <w:rsid w:val="00D130BD"/>
    <w:rsid w:val="00D144A6"/>
    <w:rsid w:val="00D20671"/>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15222"/>
    <w:rsid w:val="00F4092E"/>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23F36"/>
  <w15:docId w15:val="{179A6502-7B99-4564-AF43-CE40AAD0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paragraph" w:styleId="BodyTextIndent">
    <w:name w:val="Body Text Indent"/>
    <w:basedOn w:val="Normal"/>
    <w:link w:val="BodyTextIndentChar"/>
    <w:rsid w:val="006C3E78"/>
    <w:pPr>
      <w:spacing w:after="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6C3E78"/>
    <w:rPr>
      <w:rFonts w:ascii="Times New Roman" w:eastAsia="SimSun" w:hAnsi="Times New Roman" w:cs="Times New Roman"/>
      <w:sz w:val="24"/>
      <w:szCs w:val="24"/>
      <w:lang w:eastAsia="zh-CN"/>
    </w:rPr>
  </w:style>
  <w:style w:type="character" w:styleId="UnresolvedMention">
    <w:name w:val="Unresolved Mention"/>
    <w:basedOn w:val="DefaultParagraphFont"/>
    <w:uiPriority w:val="99"/>
    <w:semiHidden/>
    <w:unhideWhenUsed/>
    <w:rsid w:val="00605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C491-CD06-4ABD-AB29-4140BAD5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3</cp:revision>
  <cp:lastPrinted>2012-01-11T17:54:00Z</cp:lastPrinted>
  <dcterms:created xsi:type="dcterms:W3CDTF">2022-10-24T17:09:00Z</dcterms:created>
  <dcterms:modified xsi:type="dcterms:W3CDTF">2022-10-24T17:18:00Z</dcterms:modified>
</cp:coreProperties>
</file>