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146C" w14:textId="2F0F0A6E" w:rsidR="00A50EFF" w:rsidRPr="00BC650E" w:rsidRDefault="00A50EFF" w:rsidP="00A50EFF">
      <w:pPr>
        <w:pStyle w:val="Heading5"/>
        <w:jc w:val="center"/>
        <w:rPr>
          <w:rFonts w:ascii="Arial" w:hAnsi="Arial" w:cs="Arial"/>
          <w:i w:val="0"/>
          <w:sz w:val="24"/>
          <w:szCs w:val="24"/>
        </w:rPr>
      </w:pPr>
      <w:r w:rsidRPr="00764401">
        <w:rPr>
          <w:rFonts w:ascii="Arial" w:hAnsi="Arial" w:cs="Arial"/>
          <w:i w:val="0"/>
          <w:sz w:val="24"/>
          <w:szCs w:val="24"/>
        </w:rPr>
        <w:t xml:space="preserve">Formaldehyde </w:t>
      </w:r>
    </w:p>
    <w:tbl>
      <w:tblPr>
        <w:tblW w:w="10170" w:type="dxa"/>
        <w:tblInd w:w="120" w:type="dxa"/>
        <w:tblLayout w:type="fixed"/>
        <w:tblCellMar>
          <w:left w:w="120" w:type="dxa"/>
          <w:right w:w="120" w:type="dxa"/>
        </w:tblCellMar>
        <w:tblLook w:val="0000" w:firstRow="0" w:lastRow="0" w:firstColumn="0" w:lastColumn="0" w:noHBand="0" w:noVBand="0"/>
      </w:tblPr>
      <w:tblGrid>
        <w:gridCol w:w="2250"/>
        <w:gridCol w:w="900"/>
        <w:gridCol w:w="1620"/>
        <w:gridCol w:w="5400"/>
      </w:tblGrid>
      <w:tr w:rsidR="00A50EFF" w:rsidRPr="00CA342E" w14:paraId="7BFAEB2F" w14:textId="77777777" w:rsidTr="00AF0926">
        <w:tc>
          <w:tcPr>
            <w:tcW w:w="1017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12AC6DBF" w14:textId="77777777" w:rsidR="00A50EFF" w:rsidRPr="00CA342E" w:rsidRDefault="00091E15" w:rsidP="00AF0926">
            <w:pPr>
              <w:jc w:val="center"/>
              <w:rPr>
                <w:rFonts w:ascii="Arial" w:hAnsi="Arial" w:cs="Arial"/>
                <w:sz w:val="20"/>
                <w:szCs w:val="20"/>
              </w:rPr>
            </w:pPr>
            <w:r>
              <w:rPr>
                <w:rFonts w:ascii="Arial" w:hAnsi="Arial" w:cs="Arial"/>
                <w:sz w:val="20"/>
                <w:szCs w:val="20"/>
              </w:rPr>
              <w:t>Standard Operating</w:t>
            </w:r>
            <w:r w:rsidR="00A50EFF">
              <w:rPr>
                <w:rFonts w:ascii="Arial" w:hAnsi="Arial" w:cs="Arial"/>
                <w:sz w:val="20"/>
                <w:szCs w:val="20"/>
              </w:rPr>
              <w:t xml:space="preserve"> Procedures</w:t>
            </w:r>
            <w:r w:rsidR="00A50EFF" w:rsidRPr="00CA342E">
              <w:rPr>
                <w:rFonts w:ascii="Arial" w:hAnsi="Arial" w:cs="Arial"/>
                <w:sz w:val="20"/>
                <w:szCs w:val="20"/>
              </w:rPr>
              <w:t xml:space="preserve"> for Chemicals or Processes</w:t>
            </w:r>
          </w:p>
        </w:tc>
      </w:tr>
      <w:tr w:rsidR="00A50EFF" w:rsidRPr="00CA342E" w14:paraId="21D3A0B2"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641D701E"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1   Process</w:t>
            </w:r>
          </w:p>
          <w:p w14:paraId="58632D73"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(if applicable)</w:t>
            </w:r>
          </w:p>
        </w:tc>
        <w:tc>
          <w:tcPr>
            <w:tcW w:w="7920" w:type="dxa"/>
            <w:gridSpan w:val="3"/>
            <w:tcBorders>
              <w:top w:val="single" w:sz="7" w:space="0" w:color="000000"/>
              <w:left w:val="single" w:sz="7" w:space="0" w:color="000000"/>
              <w:bottom w:val="single" w:sz="7" w:space="0" w:color="000000"/>
              <w:right w:val="single" w:sz="7" w:space="0" w:color="000000"/>
            </w:tcBorders>
          </w:tcPr>
          <w:p w14:paraId="6FD38CF6" w14:textId="6F0FF972" w:rsidR="00A50EFF" w:rsidRPr="00CA342E" w:rsidRDefault="00A50EFF" w:rsidP="003B747F">
            <w:pPr>
              <w:tabs>
                <w:tab w:val="left" w:pos="432"/>
                <w:tab w:val="left" w:pos="720"/>
              </w:tabs>
              <w:spacing w:after="120"/>
              <w:jc w:val="both"/>
              <w:rPr>
                <w:rFonts w:ascii="Arial" w:hAnsi="Arial" w:cs="Arial"/>
                <w:sz w:val="20"/>
                <w:szCs w:val="20"/>
              </w:rPr>
            </w:pPr>
            <w:r w:rsidRPr="008C744D">
              <w:rPr>
                <w:rFonts w:ascii="Arial" w:hAnsi="Arial" w:cs="Arial"/>
                <w:sz w:val="20"/>
                <w:szCs w:val="20"/>
              </w:rPr>
              <w:t>Formaldehyde</w:t>
            </w:r>
            <w:r w:rsidRPr="00CA342E">
              <w:rPr>
                <w:rFonts w:ascii="Arial" w:hAnsi="Arial" w:cs="Arial"/>
                <w:sz w:val="20"/>
                <w:szCs w:val="20"/>
              </w:rPr>
              <w:t>-All use of formaldehyde and formaldehyde-containing solutions is regulated under Occupational Health regulation.</w:t>
            </w:r>
          </w:p>
        </w:tc>
      </w:tr>
      <w:tr w:rsidR="00A50EFF" w:rsidRPr="00CA342E" w14:paraId="5AEE5206"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4EC892B9"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 xml:space="preserve">2 </w:t>
            </w:r>
            <w:r>
              <w:rPr>
                <w:rFonts w:ascii="Arial" w:hAnsi="Arial" w:cs="Arial"/>
                <w:sz w:val="20"/>
                <w:szCs w:val="20"/>
              </w:rPr>
              <w:t xml:space="preserve"> Hazardous Materials and </w:t>
            </w:r>
            <w:r w:rsidRPr="00CA342E">
              <w:rPr>
                <w:rFonts w:ascii="Arial" w:hAnsi="Arial" w:cs="Arial"/>
                <w:sz w:val="20"/>
                <w:szCs w:val="20"/>
              </w:rPr>
              <w:t xml:space="preserve"> Chemicals</w:t>
            </w:r>
          </w:p>
        </w:tc>
        <w:tc>
          <w:tcPr>
            <w:tcW w:w="7920" w:type="dxa"/>
            <w:gridSpan w:val="3"/>
            <w:tcBorders>
              <w:top w:val="single" w:sz="7" w:space="0" w:color="000000"/>
              <w:left w:val="single" w:sz="7" w:space="0" w:color="000000"/>
              <w:bottom w:val="single" w:sz="7" w:space="0" w:color="000000"/>
              <w:right w:val="single" w:sz="7" w:space="0" w:color="000000"/>
            </w:tcBorders>
          </w:tcPr>
          <w:p w14:paraId="7FB196AC" w14:textId="52E1824C" w:rsidR="00A50EFF" w:rsidRPr="00CA342E" w:rsidRDefault="00A50EFF" w:rsidP="003B747F">
            <w:pPr>
              <w:jc w:val="both"/>
              <w:rPr>
                <w:rFonts w:ascii="Arial" w:hAnsi="Arial" w:cs="Arial"/>
                <w:sz w:val="20"/>
                <w:szCs w:val="20"/>
              </w:rPr>
            </w:pPr>
            <w:r w:rsidRPr="00CA342E">
              <w:rPr>
                <w:rFonts w:ascii="Arial" w:hAnsi="Arial" w:cs="Arial"/>
                <w:sz w:val="20"/>
                <w:szCs w:val="20"/>
              </w:rPr>
              <w:t>Formaldehyde: Flammable liq</w:t>
            </w:r>
            <w:bookmarkStart w:id="0" w:name="_GoBack"/>
            <w:bookmarkEnd w:id="0"/>
            <w:r w:rsidRPr="00CA342E">
              <w:rPr>
                <w:rFonts w:ascii="Arial" w:hAnsi="Arial" w:cs="Arial"/>
                <w:sz w:val="20"/>
                <w:szCs w:val="20"/>
              </w:rPr>
              <w:t>uid, irritant, sensitizer and potential human carcinogen. Permissible exposure limit (PEL) (8hrs.): 0.75 ppm, short term exposure limit (STEL) (15 min.) 2 ppm, action level (8hrs.): 0.5 ppm. Any product capable of releasing formaldehyde vapor of 0.1 to 0.5 ppm must be labeled that it contains formaldehyde, the availability of physical and health hazard information, and the name and address of the responsible party. For products capable of releasing formaldehyde vapor at levels of 0.5 ppm or above, the label must include the physical and health hazards as well as the warnings "respiratory sensitizer" and "potential cancer hazard".</w:t>
            </w:r>
          </w:p>
        </w:tc>
      </w:tr>
      <w:tr w:rsidR="00A50EFF" w:rsidRPr="00CA342E" w14:paraId="5F7105B9"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03CD8EAB"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3</w:t>
            </w:r>
            <w:r w:rsidRPr="00CA342E">
              <w:rPr>
                <w:rFonts w:ascii="Arial" w:hAnsi="Arial" w:cs="Arial"/>
                <w:sz w:val="20"/>
                <w:szCs w:val="20"/>
              </w:rPr>
              <w:t xml:space="preserve">   Environmental /</w:t>
            </w:r>
          </w:p>
          <w:p w14:paraId="7FE6EB77"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Ventilation Controls</w:t>
            </w:r>
          </w:p>
        </w:tc>
        <w:tc>
          <w:tcPr>
            <w:tcW w:w="7920" w:type="dxa"/>
            <w:gridSpan w:val="3"/>
            <w:tcBorders>
              <w:top w:val="single" w:sz="7" w:space="0" w:color="000000"/>
              <w:left w:val="single" w:sz="7" w:space="0" w:color="000000"/>
              <w:bottom w:val="single" w:sz="7" w:space="0" w:color="000000"/>
              <w:right w:val="single" w:sz="7" w:space="0" w:color="000000"/>
            </w:tcBorders>
          </w:tcPr>
          <w:p w14:paraId="58E44105" w14:textId="30508F6D" w:rsidR="00A50EFF" w:rsidRPr="00CA342E" w:rsidRDefault="00A50EFF" w:rsidP="003B747F">
            <w:pPr>
              <w:pStyle w:val="Header"/>
              <w:tabs>
                <w:tab w:val="left" w:pos="432"/>
                <w:tab w:val="left" w:pos="720"/>
              </w:tabs>
              <w:spacing w:after="120"/>
              <w:jc w:val="both"/>
              <w:rPr>
                <w:rFonts w:ascii="Arial" w:hAnsi="Arial" w:cs="Arial"/>
                <w:sz w:val="20"/>
                <w:szCs w:val="20"/>
              </w:rPr>
            </w:pPr>
            <w:r w:rsidRPr="00CA342E">
              <w:rPr>
                <w:rFonts w:ascii="Arial" w:hAnsi="Arial" w:cs="Arial"/>
                <w:sz w:val="20"/>
                <w:szCs w:val="20"/>
              </w:rPr>
              <w:t>Formaldehyde-containing solutions and preserved samples should be dispensed and used only in a properly operating fume hood. Routine use outside of a fume hood is acceptable only when formaldehyde levels are monitored and are below 0.5 ppm.</w:t>
            </w:r>
          </w:p>
          <w:p w14:paraId="479F4258" w14:textId="1D9B1F11" w:rsidR="00A50EFF" w:rsidRPr="00CA342E" w:rsidRDefault="00A50EFF" w:rsidP="003B747F">
            <w:pPr>
              <w:spacing w:after="120"/>
              <w:jc w:val="both"/>
              <w:rPr>
                <w:rFonts w:ascii="Arial" w:hAnsi="Arial" w:cs="Arial"/>
                <w:sz w:val="20"/>
                <w:szCs w:val="20"/>
              </w:rPr>
            </w:pPr>
            <w:r w:rsidRPr="00CA342E">
              <w:rPr>
                <w:rFonts w:ascii="Arial" w:hAnsi="Arial" w:cs="Arial"/>
                <w:sz w:val="20"/>
                <w:szCs w:val="20"/>
              </w:rPr>
              <w:t>Employers must determine by breathing zone air monitoring if employees are over exposed to formaldehyde. If the result of 8 hour monitoring is below the action level and the 15 minute monitoring is below the STEL, then no further air monitoring is required. However, if the work procedure changes, then monitoring must be repeated to ensure acceptable exposure levels. Affected employees must be informed of the formaldehyde exposure levels within 15 days of receiving the monitoring results.</w:t>
            </w:r>
          </w:p>
          <w:p w14:paraId="43C10887" w14:textId="63039A2D" w:rsidR="00A50EFF" w:rsidRPr="00CA342E" w:rsidRDefault="00A50EFF" w:rsidP="003B747F">
            <w:pPr>
              <w:spacing w:after="120"/>
              <w:jc w:val="both"/>
              <w:rPr>
                <w:rFonts w:ascii="Arial" w:hAnsi="Arial" w:cs="Arial"/>
                <w:sz w:val="20"/>
                <w:szCs w:val="20"/>
              </w:rPr>
            </w:pPr>
            <w:r w:rsidRPr="00CA342E">
              <w:rPr>
                <w:rFonts w:ascii="Arial" w:hAnsi="Arial" w:cs="Arial"/>
                <w:sz w:val="20"/>
                <w:szCs w:val="20"/>
              </w:rPr>
              <w:t>An employee reporting significant eye, nose, throat or dermal irritation or sensitization which might be a result of occupational exposure to formaldehyde shall be evaluated by the University's Occupational Health Professional. Based on the medical evaluation results, the Occupational Health Professional may recommend further evaluation, workplace exposure restrictions or reassignment.</w:t>
            </w:r>
          </w:p>
        </w:tc>
      </w:tr>
      <w:tr w:rsidR="00A50EFF" w:rsidRPr="00CA342E" w14:paraId="0465B3F2"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0DF56C84" w14:textId="004B92EB"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4</w:t>
            </w:r>
            <w:r w:rsidRPr="00CA342E">
              <w:rPr>
                <w:rFonts w:ascii="Arial" w:hAnsi="Arial" w:cs="Arial"/>
                <w:sz w:val="20"/>
                <w:szCs w:val="20"/>
              </w:rPr>
              <w:t xml:space="preserve">   Personal Protective Equipment (PPE)</w:t>
            </w:r>
          </w:p>
        </w:tc>
        <w:tc>
          <w:tcPr>
            <w:tcW w:w="7920" w:type="dxa"/>
            <w:gridSpan w:val="3"/>
            <w:tcBorders>
              <w:top w:val="single" w:sz="7" w:space="0" w:color="000000"/>
              <w:left w:val="single" w:sz="7" w:space="0" w:color="000000"/>
              <w:bottom w:val="single" w:sz="7" w:space="0" w:color="000000"/>
              <w:right w:val="single" w:sz="7" w:space="0" w:color="000000"/>
            </w:tcBorders>
          </w:tcPr>
          <w:p w14:paraId="1B50C36C" w14:textId="77777777" w:rsidR="00A50EFF" w:rsidRPr="00CA342E" w:rsidRDefault="00A50EFF" w:rsidP="003B747F">
            <w:pPr>
              <w:pStyle w:val="Header"/>
              <w:tabs>
                <w:tab w:val="left" w:pos="360"/>
                <w:tab w:val="left" w:pos="576"/>
              </w:tabs>
              <w:spacing w:after="120"/>
              <w:jc w:val="both"/>
              <w:rPr>
                <w:rFonts w:ascii="Arial" w:hAnsi="Arial" w:cs="Arial"/>
                <w:sz w:val="20"/>
                <w:szCs w:val="20"/>
              </w:rPr>
            </w:pPr>
            <w:r w:rsidRPr="00CA342E">
              <w:rPr>
                <w:rFonts w:ascii="Arial" w:hAnsi="Arial" w:cs="Arial"/>
                <w:sz w:val="20"/>
                <w:szCs w:val="20"/>
              </w:rPr>
              <w:t>Chemical splash goggles and nitrile gloves must be worn to prevent eye contact and limit dermal exposure. A lab coat or apron is also required.</w:t>
            </w:r>
          </w:p>
        </w:tc>
      </w:tr>
      <w:tr w:rsidR="00A50EFF" w:rsidRPr="00CA342E" w14:paraId="004DEC8C"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4CB4F6BF"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5  Special Handling Procedures &amp; Storage Requirements</w:t>
            </w:r>
          </w:p>
        </w:tc>
        <w:tc>
          <w:tcPr>
            <w:tcW w:w="7920" w:type="dxa"/>
            <w:gridSpan w:val="3"/>
            <w:tcBorders>
              <w:top w:val="single" w:sz="7" w:space="0" w:color="000000"/>
              <w:left w:val="single" w:sz="7" w:space="0" w:color="000000"/>
              <w:bottom w:val="single" w:sz="7" w:space="0" w:color="000000"/>
              <w:right w:val="single" w:sz="7" w:space="0" w:color="000000"/>
            </w:tcBorders>
          </w:tcPr>
          <w:p w14:paraId="556AE131" w14:textId="77777777" w:rsidR="00A50EFF" w:rsidRPr="00CA342E" w:rsidRDefault="00A50EFF" w:rsidP="003B747F">
            <w:pPr>
              <w:pStyle w:val="Header"/>
              <w:tabs>
                <w:tab w:val="left" w:pos="432"/>
                <w:tab w:val="left" w:pos="720"/>
              </w:tabs>
              <w:spacing w:after="120"/>
              <w:jc w:val="both"/>
              <w:rPr>
                <w:rFonts w:ascii="Arial" w:hAnsi="Arial" w:cs="Arial"/>
                <w:sz w:val="20"/>
                <w:szCs w:val="20"/>
              </w:rPr>
            </w:pPr>
            <w:r w:rsidRPr="00CA342E">
              <w:rPr>
                <w:rFonts w:ascii="Arial" w:hAnsi="Arial" w:cs="Arial"/>
                <w:sz w:val="20"/>
                <w:szCs w:val="20"/>
              </w:rPr>
              <w:t xml:space="preserve">Mixing or dispensing should be done in a hood. Store in a cool dry well ventilated flammable liquid storage area or cabinet. Do not store with strong oxidizing or reducing agents, strong acids or bases, </w:t>
            </w:r>
            <w:proofErr w:type="spellStart"/>
            <w:r w:rsidRPr="00CA342E">
              <w:rPr>
                <w:rFonts w:ascii="Arial" w:hAnsi="Arial" w:cs="Arial"/>
                <w:sz w:val="20"/>
                <w:szCs w:val="20"/>
              </w:rPr>
              <w:t>alkalies</w:t>
            </w:r>
            <w:proofErr w:type="spellEnd"/>
            <w:r w:rsidRPr="00CA342E">
              <w:rPr>
                <w:rFonts w:ascii="Arial" w:hAnsi="Arial" w:cs="Arial"/>
                <w:sz w:val="20"/>
                <w:szCs w:val="20"/>
              </w:rPr>
              <w:t>, alkali metals, amines, ammonia or phenol. Storage cabinet is located*</w:t>
            </w:r>
          </w:p>
        </w:tc>
      </w:tr>
      <w:tr w:rsidR="00A50EFF" w:rsidRPr="00CA342E" w14:paraId="337FB8DE"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48785EDF" w14:textId="0D4A7D78"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roofErr w:type="gramStart"/>
            <w:r w:rsidRPr="00CA342E">
              <w:rPr>
                <w:rFonts w:ascii="Arial" w:hAnsi="Arial" w:cs="Arial"/>
                <w:sz w:val="20"/>
                <w:szCs w:val="20"/>
              </w:rPr>
              <w:t>6  Spill</w:t>
            </w:r>
            <w:proofErr w:type="gramEnd"/>
            <w:r w:rsidRPr="00CA342E">
              <w:rPr>
                <w:rFonts w:ascii="Arial" w:hAnsi="Arial" w:cs="Arial"/>
                <w:sz w:val="20"/>
                <w:szCs w:val="20"/>
              </w:rPr>
              <w:t xml:space="preserve"> and Accident Procedures</w:t>
            </w:r>
          </w:p>
        </w:tc>
        <w:tc>
          <w:tcPr>
            <w:tcW w:w="7920" w:type="dxa"/>
            <w:gridSpan w:val="3"/>
            <w:tcBorders>
              <w:top w:val="single" w:sz="7" w:space="0" w:color="000000"/>
              <w:left w:val="single" w:sz="7" w:space="0" w:color="000000"/>
              <w:bottom w:val="single" w:sz="7" w:space="0" w:color="000000"/>
              <w:right w:val="single" w:sz="7" w:space="0" w:color="000000"/>
            </w:tcBorders>
          </w:tcPr>
          <w:p w14:paraId="4CDC6AB4" w14:textId="77777777" w:rsidR="00A50EFF" w:rsidRPr="00CA342E" w:rsidRDefault="00A50EFF" w:rsidP="003B747F">
            <w:pPr>
              <w:pStyle w:val="Header"/>
              <w:tabs>
                <w:tab w:val="left" w:pos="432"/>
                <w:tab w:val="left" w:pos="720"/>
              </w:tabs>
              <w:spacing w:after="120"/>
              <w:jc w:val="both"/>
              <w:rPr>
                <w:rFonts w:ascii="Arial" w:hAnsi="Arial" w:cs="Arial"/>
                <w:sz w:val="20"/>
                <w:szCs w:val="20"/>
              </w:rPr>
            </w:pPr>
            <w:r w:rsidRPr="00CA342E">
              <w:rPr>
                <w:rFonts w:ascii="Arial" w:hAnsi="Arial" w:cs="Arial"/>
                <w:sz w:val="20"/>
                <w:szCs w:val="20"/>
              </w:rPr>
              <w:t>If skin is exposed, wash immediately with soap and water. Flush mucus membranes with large amounts of water. Use drench shower in case of extensive contamination.</w:t>
            </w:r>
          </w:p>
          <w:p w14:paraId="3EF64D83" w14:textId="77777777" w:rsidR="00A50EFF" w:rsidRPr="00CA342E" w:rsidRDefault="00A50EFF" w:rsidP="003B747F">
            <w:pPr>
              <w:pStyle w:val="Header"/>
              <w:tabs>
                <w:tab w:val="left" w:pos="432"/>
                <w:tab w:val="left" w:pos="720"/>
              </w:tabs>
              <w:spacing w:after="120"/>
              <w:jc w:val="both"/>
              <w:rPr>
                <w:rFonts w:ascii="Arial" w:hAnsi="Arial" w:cs="Arial"/>
                <w:sz w:val="20"/>
                <w:szCs w:val="20"/>
              </w:rPr>
            </w:pPr>
            <w:r w:rsidRPr="00CA342E">
              <w:rPr>
                <w:rFonts w:ascii="Arial" w:hAnsi="Arial" w:cs="Arial"/>
                <w:sz w:val="20"/>
                <w:szCs w:val="20"/>
              </w:rPr>
              <w:t xml:space="preserve">Remove all sources of ignition from the spill area. </w:t>
            </w:r>
          </w:p>
          <w:p w14:paraId="0A08776E" w14:textId="08B0CA9A" w:rsidR="00A50EFF" w:rsidRPr="00CA342E" w:rsidRDefault="00A50EFF" w:rsidP="003B747F">
            <w:pPr>
              <w:pStyle w:val="Header"/>
              <w:tabs>
                <w:tab w:val="left" w:pos="432"/>
                <w:tab w:val="left" w:pos="720"/>
              </w:tabs>
              <w:spacing w:after="120"/>
              <w:jc w:val="both"/>
              <w:rPr>
                <w:rFonts w:ascii="Arial" w:hAnsi="Arial" w:cs="Arial"/>
                <w:sz w:val="20"/>
                <w:szCs w:val="20"/>
              </w:rPr>
            </w:pPr>
            <w:r w:rsidRPr="00CA342E">
              <w:rPr>
                <w:rFonts w:ascii="Arial" w:hAnsi="Arial" w:cs="Arial"/>
                <w:sz w:val="20"/>
                <w:szCs w:val="20"/>
              </w:rPr>
              <w:t>Spills in fume hood - use absorbent pads or vermiculite to clean up small fume hood spills or to dike spill area. Clean up spill area with additional pads or paper towels. Absorbent pads can be found in __________________.</w:t>
            </w:r>
          </w:p>
          <w:p w14:paraId="01DA6C77" w14:textId="74401159" w:rsidR="00A50EFF" w:rsidRPr="00CA342E" w:rsidRDefault="00A50EFF" w:rsidP="003B747F">
            <w:pPr>
              <w:pStyle w:val="Header"/>
              <w:tabs>
                <w:tab w:val="left" w:pos="432"/>
                <w:tab w:val="left" w:pos="720"/>
              </w:tabs>
              <w:spacing w:after="120"/>
              <w:jc w:val="both"/>
              <w:rPr>
                <w:rFonts w:ascii="Arial" w:hAnsi="Arial" w:cs="Arial"/>
                <w:sz w:val="20"/>
                <w:szCs w:val="20"/>
              </w:rPr>
            </w:pPr>
            <w:r w:rsidRPr="00CA342E">
              <w:rPr>
                <w:rFonts w:ascii="Arial" w:hAnsi="Arial" w:cs="Arial"/>
                <w:sz w:val="20"/>
                <w:szCs w:val="20"/>
              </w:rPr>
              <w:t>Spills in room - respiratory protection is required to clean up spills of formaldehyde greater than ___ ml outside an operating fume hood. If you are not certified to wear</w:t>
            </w:r>
            <w:r>
              <w:rPr>
                <w:rFonts w:ascii="Arial" w:hAnsi="Arial" w:cs="Arial"/>
                <w:sz w:val="20"/>
                <w:szCs w:val="20"/>
              </w:rPr>
              <w:t xml:space="preserve"> a respirator, call </w:t>
            </w:r>
            <w:r w:rsidR="003B747F">
              <w:rPr>
                <w:rFonts w:ascii="Arial" w:hAnsi="Arial" w:cs="Arial"/>
                <w:sz w:val="20"/>
                <w:szCs w:val="20"/>
              </w:rPr>
              <w:t xml:space="preserve">UW Safety </w:t>
            </w:r>
            <w:r>
              <w:rPr>
                <w:rFonts w:ascii="Arial" w:hAnsi="Arial" w:cs="Arial"/>
                <w:sz w:val="20"/>
                <w:szCs w:val="20"/>
              </w:rPr>
              <w:t>-</w:t>
            </w:r>
            <w:r w:rsidR="003B747F">
              <w:rPr>
                <w:rFonts w:ascii="Arial" w:hAnsi="Arial" w:cs="Arial"/>
                <w:sz w:val="20"/>
                <w:szCs w:val="20"/>
              </w:rPr>
              <w:t xml:space="preserve"> </w:t>
            </w:r>
            <w:r>
              <w:rPr>
                <w:rFonts w:ascii="Arial" w:hAnsi="Arial" w:cs="Arial"/>
                <w:sz w:val="20"/>
                <w:szCs w:val="20"/>
              </w:rPr>
              <w:t>RMMC at 307-766-</w:t>
            </w:r>
            <w:proofErr w:type="gramStart"/>
            <w:r>
              <w:rPr>
                <w:rFonts w:ascii="Arial" w:hAnsi="Arial" w:cs="Arial"/>
                <w:sz w:val="20"/>
                <w:szCs w:val="20"/>
              </w:rPr>
              <w:t xml:space="preserve">3698 </w:t>
            </w:r>
            <w:r w:rsidRPr="00CA342E">
              <w:rPr>
                <w:rFonts w:ascii="Arial" w:hAnsi="Arial" w:cs="Arial"/>
                <w:sz w:val="20"/>
                <w:szCs w:val="20"/>
              </w:rPr>
              <w:t xml:space="preserve"> for</w:t>
            </w:r>
            <w:proofErr w:type="gramEnd"/>
            <w:r w:rsidRPr="00CA342E">
              <w:rPr>
                <w:rFonts w:ascii="Arial" w:hAnsi="Arial" w:cs="Arial"/>
                <w:sz w:val="20"/>
                <w:szCs w:val="20"/>
              </w:rPr>
              <w:t xml:space="preserve"> assistance in contacting a </w:t>
            </w:r>
            <w:r w:rsidRPr="00CA342E">
              <w:rPr>
                <w:rFonts w:ascii="Arial" w:hAnsi="Arial" w:cs="Arial"/>
                <w:sz w:val="20"/>
                <w:szCs w:val="20"/>
              </w:rPr>
              <w:lastRenderedPageBreak/>
              <w:t>spill cleanup contractor. If it is an emergency (risk of fire or exposure to others) call 911. After cleanup, r</w:t>
            </w:r>
            <w:r>
              <w:rPr>
                <w:rFonts w:ascii="Arial" w:hAnsi="Arial" w:cs="Arial"/>
                <w:sz w:val="20"/>
                <w:szCs w:val="20"/>
              </w:rPr>
              <w:t xml:space="preserve">oom air must be monitored by </w:t>
            </w:r>
            <w:r w:rsidR="003B747F">
              <w:rPr>
                <w:rFonts w:ascii="Arial" w:hAnsi="Arial" w:cs="Arial"/>
                <w:sz w:val="20"/>
                <w:szCs w:val="20"/>
              </w:rPr>
              <w:t>UW Safety</w:t>
            </w:r>
            <w:r w:rsidRPr="00CA342E">
              <w:rPr>
                <w:rFonts w:ascii="Arial" w:hAnsi="Arial" w:cs="Arial"/>
                <w:sz w:val="20"/>
                <w:szCs w:val="20"/>
              </w:rPr>
              <w:t xml:space="preserve"> prior to occupancy.</w:t>
            </w:r>
          </w:p>
        </w:tc>
      </w:tr>
      <w:tr w:rsidR="00A50EFF" w:rsidRPr="00CA342E" w14:paraId="40E17365"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45E3F9DD"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lastRenderedPageBreak/>
              <w:t>7  Waste Disposal</w:t>
            </w:r>
          </w:p>
        </w:tc>
        <w:tc>
          <w:tcPr>
            <w:tcW w:w="7920" w:type="dxa"/>
            <w:gridSpan w:val="3"/>
            <w:tcBorders>
              <w:top w:val="single" w:sz="7" w:space="0" w:color="000000"/>
              <w:left w:val="single" w:sz="7" w:space="0" w:color="000000"/>
              <w:bottom w:val="single" w:sz="7" w:space="0" w:color="000000"/>
              <w:right w:val="single" w:sz="7" w:space="0" w:color="000000"/>
            </w:tcBorders>
          </w:tcPr>
          <w:p w14:paraId="55F55C44" w14:textId="50F96656" w:rsidR="00A50EFF" w:rsidRPr="00CA342E" w:rsidRDefault="00A50EFF" w:rsidP="003B747F">
            <w:pPr>
              <w:pStyle w:val="Header"/>
              <w:tabs>
                <w:tab w:val="left" w:pos="432"/>
                <w:tab w:val="left" w:pos="720"/>
              </w:tabs>
              <w:spacing w:after="120"/>
              <w:jc w:val="both"/>
              <w:rPr>
                <w:rFonts w:ascii="Arial" w:hAnsi="Arial" w:cs="Arial"/>
                <w:sz w:val="20"/>
                <w:szCs w:val="20"/>
              </w:rPr>
            </w:pPr>
            <w:r>
              <w:rPr>
                <w:rFonts w:ascii="Arial" w:hAnsi="Arial" w:cs="Arial"/>
                <w:sz w:val="20"/>
                <w:szCs w:val="20"/>
              </w:rPr>
              <w:t>I</w:t>
            </w:r>
            <w:r w:rsidRPr="00CA342E">
              <w:rPr>
                <w:rFonts w:ascii="Arial" w:hAnsi="Arial" w:cs="Arial"/>
                <w:sz w:val="20"/>
                <w:szCs w:val="20"/>
              </w:rPr>
              <w:t>f disposing of as hazardous waste, label with Hazardous Waste Label, accumulate according to require</w:t>
            </w:r>
            <w:r>
              <w:rPr>
                <w:rFonts w:ascii="Arial" w:hAnsi="Arial" w:cs="Arial"/>
                <w:sz w:val="20"/>
                <w:szCs w:val="20"/>
              </w:rPr>
              <w:t xml:space="preserve">ments, and submit a hazardous waste request, </w:t>
            </w:r>
            <w:r w:rsidRPr="00CA342E">
              <w:rPr>
                <w:rFonts w:ascii="Arial" w:hAnsi="Arial" w:cs="Arial"/>
                <w:sz w:val="20"/>
                <w:szCs w:val="20"/>
              </w:rPr>
              <w:t xml:space="preserve">available online at </w:t>
            </w:r>
            <w:hyperlink r:id="rId8" w:history="1">
              <w:r w:rsidR="003B747F" w:rsidRPr="00204A1D">
                <w:rPr>
                  <w:rStyle w:val="Hyperlink"/>
                  <w:rFonts w:ascii="Arial" w:hAnsi="Arial" w:cs="Arial"/>
                  <w:sz w:val="20"/>
                  <w:szCs w:val="20"/>
                </w:rPr>
                <w:t>http://www.uwyo.edu/safety</w:t>
              </w:r>
            </w:hyperlink>
          </w:p>
        </w:tc>
      </w:tr>
      <w:tr w:rsidR="00A50EFF" w:rsidRPr="00CA342E" w14:paraId="5794ADAE" w14:textId="77777777" w:rsidTr="00AF0926">
        <w:tc>
          <w:tcPr>
            <w:tcW w:w="2250" w:type="dxa"/>
            <w:tcBorders>
              <w:top w:val="single" w:sz="7" w:space="0" w:color="000000"/>
              <w:left w:val="single" w:sz="7" w:space="0" w:color="000000"/>
              <w:right w:val="single" w:sz="7" w:space="0" w:color="000000"/>
            </w:tcBorders>
          </w:tcPr>
          <w:p w14:paraId="2414C99A"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8  Special Precautions                       for Animal Use</w:t>
            </w:r>
          </w:p>
          <w:p w14:paraId="4C86DF9A"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(if applicable)</w:t>
            </w:r>
          </w:p>
        </w:tc>
        <w:tc>
          <w:tcPr>
            <w:tcW w:w="7920" w:type="dxa"/>
            <w:gridSpan w:val="3"/>
            <w:tcBorders>
              <w:top w:val="single" w:sz="7" w:space="0" w:color="000000"/>
              <w:left w:val="single" w:sz="7" w:space="0" w:color="000000"/>
              <w:right w:val="single" w:sz="7" w:space="0" w:color="000000"/>
            </w:tcBorders>
          </w:tcPr>
          <w:p w14:paraId="6D3CFBCC" w14:textId="58E68A5A" w:rsidR="00A50EFF" w:rsidRPr="00CA342E" w:rsidRDefault="00A50EFF" w:rsidP="003B747F">
            <w:pPr>
              <w:pStyle w:val="Header"/>
              <w:tabs>
                <w:tab w:val="left" w:pos="432"/>
                <w:tab w:val="left" w:pos="720"/>
              </w:tabs>
              <w:spacing w:after="120"/>
              <w:jc w:val="both"/>
              <w:rPr>
                <w:rFonts w:ascii="Arial" w:hAnsi="Arial" w:cs="Arial"/>
                <w:sz w:val="20"/>
                <w:szCs w:val="20"/>
              </w:rPr>
            </w:pPr>
            <w:r w:rsidRPr="00CA342E">
              <w:rPr>
                <w:rFonts w:ascii="Arial" w:hAnsi="Arial" w:cs="Arial"/>
                <w:sz w:val="20"/>
                <w:szCs w:val="20"/>
              </w:rPr>
              <w:t>Disposal of sample tissues or material soaked in formaldehyde should be disposed of by *___________________________________.</w:t>
            </w:r>
          </w:p>
        </w:tc>
      </w:tr>
      <w:tr w:rsidR="00A50EFF" w:rsidRPr="00CA342E" w14:paraId="526209F3" w14:textId="77777777" w:rsidTr="00AF0926">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7DD7CDB0" w14:textId="77777777" w:rsidR="00A50EFF" w:rsidRPr="00CA342E" w:rsidRDefault="00A50EFF"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Particularly hazardous</w:t>
            </w:r>
          </w:p>
          <w:p w14:paraId="5AFAE534" w14:textId="77777777" w:rsidR="00A50EFF" w:rsidRPr="00CA342E" w:rsidRDefault="00A50EFF"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r w:rsidRPr="00CA342E">
              <w:rPr>
                <w:rFonts w:ascii="Arial" w:hAnsi="Arial" w:cs="Arial"/>
                <w:color w:val="000000"/>
                <w:sz w:val="20"/>
                <w:szCs w:val="20"/>
              </w:rPr>
              <w:t>substance involved?</w:t>
            </w:r>
          </w:p>
        </w:tc>
        <w:tc>
          <w:tcPr>
            <w:tcW w:w="1620" w:type="dxa"/>
            <w:tcBorders>
              <w:top w:val="single" w:sz="2" w:space="0" w:color="000000"/>
              <w:left w:val="single" w:sz="2" w:space="0" w:color="000000"/>
              <w:bottom w:val="single" w:sz="2" w:space="0" w:color="000000"/>
            </w:tcBorders>
            <w:vAlign w:val="bottom"/>
          </w:tcPr>
          <w:p w14:paraId="6637D6ED" w14:textId="77777777" w:rsidR="00A50EFF" w:rsidRPr="00CA342E" w:rsidRDefault="00A50EFF" w:rsidP="00AF0926">
            <w:pPr>
              <w:pStyle w:val="Header"/>
              <w:jc w:val="center"/>
              <w:rPr>
                <w:rFonts w:ascii="Arial" w:hAnsi="Arial" w:cs="Arial"/>
                <w:sz w:val="20"/>
                <w:szCs w:val="20"/>
              </w:rPr>
            </w:pPr>
            <w:r w:rsidRPr="00CA342E">
              <w:rPr>
                <w:rFonts w:ascii="Arial" w:hAnsi="Arial" w:cs="Arial"/>
                <w:sz w:val="20"/>
                <w:szCs w:val="20"/>
                <w:u w:val="single"/>
              </w:rPr>
              <w:t xml:space="preserve">  X  </w:t>
            </w:r>
            <w:r w:rsidRPr="00CA342E">
              <w:rPr>
                <w:rFonts w:ascii="Arial" w:hAnsi="Arial" w:cs="Arial"/>
                <w:sz w:val="20"/>
                <w:szCs w:val="20"/>
              </w:rPr>
              <w:t xml:space="preserve"> YES:</w:t>
            </w:r>
          </w:p>
        </w:tc>
        <w:tc>
          <w:tcPr>
            <w:tcW w:w="5400" w:type="dxa"/>
            <w:tcBorders>
              <w:top w:val="single" w:sz="2" w:space="0" w:color="000000"/>
              <w:bottom w:val="single" w:sz="2" w:space="0" w:color="000000"/>
              <w:right w:val="single" w:sz="2" w:space="0" w:color="000000"/>
            </w:tcBorders>
            <w:shd w:val="pct30" w:color="auto" w:fill="FFFFFF"/>
            <w:vAlign w:val="bottom"/>
          </w:tcPr>
          <w:p w14:paraId="073D368A" w14:textId="77777777" w:rsidR="00A50EFF" w:rsidRPr="00CA342E" w:rsidRDefault="00A50EFF" w:rsidP="00AF0926">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Mandatory</w:t>
            </w:r>
          </w:p>
        </w:tc>
      </w:tr>
      <w:tr w:rsidR="00A50EFF" w:rsidRPr="00CA342E" w14:paraId="4461D9FB" w14:textId="77777777" w:rsidTr="00AF0926">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16248380" w14:textId="77777777" w:rsidR="00A50EFF" w:rsidRPr="00CA342E" w:rsidRDefault="00A50EFF" w:rsidP="00AF092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20"/>
                <w:szCs w:val="20"/>
              </w:rPr>
            </w:pPr>
          </w:p>
        </w:tc>
        <w:tc>
          <w:tcPr>
            <w:tcW w:w="1620" w:type="dxa"/>
            <w:tcBorders>
              <w:top w:val="single" w:sz="2" w:space="0" w:color="000000"/>
              <w:left w:val="single" w:sz="2" w:space="0" w:color="000000"/>
              <w:bottom w:val="single" w:sz="2" w:space="0" w:color="000000"/>
            </w:tcBorders>
            <w:vAlign w:val="bottom"/>
          </w:tcPr>
          <w:p w14:paraId="11D57F46" w14:textId="77777777" w:rsidR="00A50EFF" w:rsidRPr="00CA342E" w:rsidRDefault="00A50EFF" w:rsidP="00AF0926">
            <w:pPr>
              <w:pStyle w:val="Header"/>
              <w:jc w:val="center"/>
              <w:rPr>
                <w:rFonts w:ascii="Arial" w:hAnsi="Arial" w:cs="Arial"/>
                <w:sz w:val="20"/>
                <w:szCs w:val="20"/>
              </w:rPr>
            </w:pPr>
            <w:r w:rsidRPr="00CA342E">
              <w:rPr>
                <w:rFonts w:ascii="Arial" w:hAnsi="Arial" w:cs="Arial"/>
                <w:sz w:val="20"/>
                <w:szCs w:val="20"/>
                <w:u w:val="single"/>
              </w:rPr>
              <w:t xml:space="preserve">    </w:t>
            </w:r>
            <w:r w:rsidRPr="00CA342E">
              <w:rPr>
                <w:rFonts w:ascii="Arial" w:hAnsi="Arial" w:cs="Arial"/>
                <w:sz w:val="20"/>
                <w:szCs w:val="20"/>
              </w:rPr>
              <w:t xml:space="preserve">  NO:</w:t>
            </w:r>
          </w:p>
        </w:tc>
        <w:tc>
          <w:tcPr>
            <w:tcW w:w="5400" w:type="dxa"/>
            <w:tcBorders>
              <w:top w:val="single" w:sz="2" w:space="0" w:color="000000"/>
              <w:bottom w:val="single" w:sz="2" w:space="0" w:color="000000"/>
              <w:right w:val="single" w:sz="2" w:space="0" w:color="000000"/>
            </w:tcBorders>
            <w:shd w:val="pct30" w:color="auto" w:fill="FFFFFF"/>
            <w:vAlign w:val="bottom"/>
          </w:tcPr>
          <w:p w14:paraId="468055A1" w14:textId="77777777" w:rsidR="00A50EFF" w:rsidRPr="00CA342E" w:rsidRDefault="00A50EFF" w:rsidP="00AF0926">
            <w:pPr>
              <w:pStyle w:val="Header"/>
              <w:jc w:val="center"/>
              <w:rPr>
                <w:rFonts w:ascii="Arial" w:hAnsi="Arial" w:cs="Arial"/>
                <w:sz w:val="20"/>
                <w:szCs w:val="20"/>
              </w:rPr>
            </w:pPr>
            <w:r>
              <w:rPr>
                <w:rFonts w:ascii="Arial" w:hAnsi="Arial" w:cs="Arial"/>
                <w:sz w:val="20"/>
                <w:szCs w:val="20"/>
              </w:rPr>
              <w:t xml:space="preserve">Blocks 9 to </w:t>
            </w:r>
            <w:r w:rsidRPr="00CA342E">
              <w:rPr>
                <w:rFonts w:ascii="Arial" w:hAnsi="Arial" w:cs="Arial"/>
                <w:sz w:val="20"/>
                <w:szCs w:val="20"/>
              </w:rPr>
              <w:t>11 are Optional.</w:t>
            </w:r>
          </w:p>
        </w:tc>
      </w:tr>
      <w:tr w:rsidR="00A50EFF" w:rsidRPr="00CA342E" w14:paraId="1A4E80AB" w14:textId="77777777" w:rsidTr="00AF0926">
        <w:tc>
          <w:tcPr>
            <w:tcW w:w="2250" w:type="dxa"/>
            <w:tcBorders>
              <w:left w:val="single" w:sz="7" w:space="0" w:color="000000"/>
              <w:bottom w:val="single" w:sz="7" w:space="0" w:color="000000"/>
              <w:right w:val="single" w:sz="7" w:space="0" w:color="000000"/>
            </w:tcBorders>
          </w:tcPr>
          <w:p w14:paraId="78F43983"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9  Approval Required</w:t>
            </w:r>
          </w:p>
        </w:tc>
        <w:tc>
          <w:tcPr>
            <w:tcW w:w="7920" w:type="dxa"/>
            <w:gridSpan w:val="3"/>
            <w:tcBorders>
              <w:left w:val="single" w:sz="7" w:space="0" w:color="000000"/>
              <w:bottom w:val="single" w:sz="7" w:space="0" w:color="000000"/>
              <w:right w:val="single" w:sz="7" w:space="0" w:color="000000"/>
            </w:tcBorders>
          </w:tcPr>
          <w:p w14:paraId="4C4F53CB" w14:textId="4D2381D5" w:rsidR="00A50EFF" w:rsidRPr="00CA342E" w:rsidRDefault="00A50EFF" w:rsidP="003B747F">
            <w:pPr>
              <w:tabs>
                <w:tab w:val="left" w:pos="432"/>
                <w:tab w:val="left" w:pos="720"/>
              </w:tabs>
              <w:spacing w:after="58"/>
              <w:jc w:val="both"/>
              <w:rPr>
                <w:rFonts w:ascii="Arial" w:hAnsi="Arial" w:cs="Arial"/>
                <w:color w:val="000000"/>
                <w:sz w:val="20"/>
                <w:szCs w:val="20"/>
              </w:rPr>
            </w:pPr>
            <w:r w:rsidRPr="00CA342E">
              <w:rPr>
                <w:rFonts w:ascii="Arial" w:hAnsi="Arial" w:cs="Arial"/>
                <w:color w:val="000000"/>
                <w:sz w:val="20"/>
                <w:szCs w:val="20"/>
              </w:rPr>
              <w:t>Users must receive specified physical and health hazard information and safe laboratory work practices training from their supervisor. Lab supervisors must ensure that at least two representative breathing zone air samples have been taken for evaluation. Personnel using respirators must be enrolled in University's Respiratory Protection Program. For further information, air sampling guidelines, or a copy of the formaldehyde regulatio</w:t>
            </w:r>
            <w:r>
              <w:rPr>
                <w:rFonts w:ascii="Arial" w:hAnsi="Arial" w:cs="Arial"/>
                <w:color w:val="000000"/>
                <w:sz w:val="20"/>
                <w:szCs w:val="20"/>
              </w:rPr>
              <w:t xml:space="preserve">ns contact </w:t>
            </w:r>
            <w:r w:rsidR="003B747F">
              <w:rPr>
                <w:rFonts w:ascii="Arial" w:hAnsi="Arial" w:cs="Arial"/>
                <w:color w:val="000000"/>
                <w:sz w:val="20"/>
                <w:szCs w:val="20"/>
              </w:rPr>
              <w:t>UW Safety</w:t>
            </w:r>
            <w:r>
              <w:rPr>
                <w:rFonts w:ascii="Arial" w:hAnsi="Arial" w:cs="Arial"/>
                <w:color w:val="000000"/>
                <w:sz w:val="20"/>
                <w:szCs w:val="20"/>
              </w:rPr>
              <w:t xml:space="preserve"> at (307-766-3277</w:t>
            </w:r>
            <w:r w:rsidRPr="00CA342E">
              <w:rPr>
                <w:rFonts w:ascii="Arial" w:hAnsi="Arial" w:cs="Arial"/>
                <w:color w:val="000000"/>
                <w:sz w:val="20"/>
                <w:szCs w:val="20"/>
              </w:rPr>
              <w:t>).</w:t>
            </w:r>
          </w:p>
        </w:tc>
      </w:tr>
      <w:tr w:rsidR="00A50EFF" w:rsidRPr="00CA342E" w14:paraId="1A1080E0"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50AAE581"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10 Decontamination</w:t>
            </w:r>
          </w:p>
        </w:tc>
        <w:tc>
          <w:tcPr>
            <w:tcW w:w="7920" w:type="dxa"/>
            <w:gridSpan w:val="3"/>
            <w:tcBorders>
              <w:top w:val="single" w:sz="7" w:space="0" w:color="000000"/>
              <w:left w:val="single" w:sz="7" w:space="0" w:color="000000"/>
              <w:bottom w:val="single" w:sz="7" w:space="0" w:color="000000"/>
              <w:right w:val="single" w:sz="7" w:space="0" w:color="000000"/>
            </w:tcBorders>
          </w:tcPr>
          <w:p w14:paraId="47336758" w14:textId="77777777" w:rsidR="00A50EFF" w:rsidRPr="00CA342E" w:rsidRDefault="00A50EFF" w:rsidP="003B747F">
            <w:pPr>
              <w:tabs>
                <w:tab w:val="left" w:pos="432"/>
                <w:tab w:val="left" w:pos="720"/>
              </w:tabs>
              <w:spacing w:after="58"/>
              <w:jc w:val="both"/>
              <w:rPr>
                <w:rFonts w:ascii="Arial" w:hAnsi="Arial" w:cs="Arial"/>
                <w:color w:val="000000"/>
                <w:sz w:val="20"/>
                <w:szCs w:val="20"/>
              </w:rPr>
            </w:pPr>
            <w:r w:rsidRPr="00CA342E">
              <w:rPr>
                <w:rFonts w:ascii="Arial" w:hAnsi="Arial" w:cs="Arial"/>
                <w:color w:val="000000"/>
                <w:sz w:val="20"/>
                <w:szCs w:val="20"/>
              </w:rPr>
              <w:t>Wash affected area with soap and water.</w:t>
            </w:r>
          </w:p>
        </w:tc>
      </w:tr>
      <w:tr w:rsidR="00A50EFF" w:rsidRPr="00CA342E" w14:paraId="415CAC4A" w14:textId="77777777" w:rsidTr="00AF0926">
        <w:tc>
          <w:tcPr>
            <w:tcW w:w="2250" w:type="dxa"/>
            <w:tcBorders>
              <w:top w:val="single" w:sz="7" w:space="0" w:color="000000"/>
              <w:left w:val="single" w:sz="7" w:space="0" w:color="000000"/>
              <w:bottom w:val="single" w:sz="7" w:space="0" w:color="000000"/>
              <w:right w:val="single" w:sz="7" w:space="0" w:color="000000"/>
            </w:tcBorders>
          </w:tcPr>
          <w:p w14:paraId="062CC60E" w14:textId="77777777" w:rsidR="00A50EFF" w:rsidRPr="00CA342E" w:rsidRDefault="00A50EFF" w:rsidP="00AF092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11 Designated Area</w:t>
            </w:r>
          </w:p>
        </w:tc>
        <w:tc>
          <w:tcPr>
            <w:tcW w:w="7920" w:type="dxa"/>
            <w:gridSpan w:val="3"/>
            <w:tcBorders>
              <w:top w:val="single" w:sz="7" w:space="0" w:color="000000"/>
              <w:left w:val="single" w:sz="7" w:space="0" w:color="000000"/>
              <w:bottom w:val="single" w:sz="7" w:space="0" w:color="000000"/>
              <w:right w:val="single" w:sz="7" w:space="0" w:color="000000"/>
            </w:tcBorders>
          </w:tcPr>
          <w:p w14:paraId="7EB6AECB" w14:textId="01146B26" w:rsidR="00A50EFF" w:rsidRPr="00CA342E" w:rsidRDefault="00A50EFF" w:rsidP="003B747F">
            <w:pPr>
              <w:tabs>
                <w:tab w:val="left" w:pos="432"/>
                <w:tab w:val="left" w:pos="720"/>
              </w:tabs>
              <w:spacing w:after="58"/>
              <w:jc w:val="both"/>
              <w:rPr>
                <w:rFonts w:ascii="Arial" w:hAnsi="Arial" w:cs="Arial"/>
                <w:color w:val="000000"/>
                <w:sz w:val="20"/>
                <w:szCs w:val="20"/>
              </w:rPr>
            </w:pPr>
            <w:r w:rsidRPr="00CA342E">
              <w:rPr>
                <w:rFonts w:ascii="Arial" w:hAnsi="Arial" w:cs="Arial"/>
                <w:color w:val="000000"/>
                <w:sz w:val="20"/>
                <w:szCs w:val="20"/>
              </w:rPr>
              <w:t>Room # *________. Special signage may be required depending on air sampling results (see</w:t>
            </w:r>
            <w:r>
              <w:rPr>
                <w:rFonts w:ascii="Arial" w:hAnsi="Arial" w:cs="Arial"/>
                <w:color w:val="000000"/>
                <w:sz w:val="20"/>
                <w:szCs w:val="20"/>
              </w:rPr>
              <w:t xml:space="preserve"> #4 above). Contact </w:t>
            </w:r>
            <w:r w:rsidR="003B747F">
              <w:rPr>
                <w:rFonts w:ascii="Arial" w:hAnsi="Arial" w:cs="Arial"/>
                <w:color w:val="000000"/>
                <w:sz w:val="20"/>
                <w:szCs w:val="20"/>
              </w:rPr>
              <w:t>UW Safety</w:t>
            </w:r>
            <w:r>
              <w:rPr>
                <w:rFonts w:ascii="Arial" w:hAnsi="Arial" w:cs="Arial"/>
                <w:color w:val="000000"/>
                <w:sz w:val="20"/>
                <w:szCs w:val="20"/>
              </w:rPr>
              <w:t xml:space="preserve"> (6-3277</w:t>
            </w:r>
            <w:r w:rsidRPr="00CA342E">
              <w:rPr>
                <w:rFonts w:ascii="Arial" w:hAnsi="Arial" w:cs="Arial"/>
                <w:color w:val="000000"/>
                <w:sz w:val="20"/>
                <w:szCs w:val="20"/>
              </w:rPr>
              <w:t>) for further information.</w:t>
            </w:r>
          </w:p>
        </w:tc>
      </w:tr>
      <w:tr w:rsidR="00A50EFF" w:rsidRPr="00CA342E" w14:paraId="10651074" w14:textId="77777777" w:rsidTr="00AF0926">
        <w:tc>
          <w:tcPr>
            <w:tcW w:w="10170" w:type="dxa"/>
            <w:gridSpan w:val="4"/>
            <w:tcBorders>
              <w:top w:val="double" w:sz="7" w:space="0" w:color="000000"/>
              <w:left w:val="single" w:sz="7" w:space="0" w:color="000000"/>
              <w:bottom w:val="single" w:sz="7" w:space="0" w:color="000000"/>
              <w:right w:val="single" w:sz="7" w:space="0" w:color="000000"/>
            </w:tcBorders>
          </w:tcPr>
          <w:p w14:paraId="1B4A672E" w14:textId="77777777" w:rsidR="00A50EFF" w:rsidRPr="006935A4" w:rsidRDefault="00A50EFF" w:rsidP="00AF0926">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A50EFF" w:rsidRPr="00CA342E" w14:paraId="57FDB435" w14:textId="77777777" w:rsidTr="00AF0926">
        <w:tc>
          <w:tcPr>
            <w:tcW w:w="10170" w:type="dxa"/>
            <w:gridSpan w:val="4"/>
            <w:tcBorders>
              <w:top w:val="single" w:sz="7" w:space="0" w:color="000000"/>
              <w:left w:val="single" w:sz="7" w:space="0" w:color="000000"/>
              <w:bottom w:val="single" w:sz="7" w:space="0" w:color="000000"/>
              <w:right w:val="single" w:sz="7" w:space="0" w:color="000000"/>
            </w:tcBorders>
          </w:tcPr>
          <w:p w14:paraId="1034E339" w14:textId="77777777" w:rsidR="00A50EFF" w:rsidRPr="006935A4" w:rsidRDefault="00A50EFF"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A50EFF" w:rsidRPr="00CA342E" w14:paraId="3A492133" w14:textId="77777777" w:rsidTr="00AF0926">
        <w:tc>
          <w:tcPr>
            <w:tcW w:w="10170" w:type="dxa"/>
            <w:gridSpan w:val="4"/>
            <w:tcBorders>
              <w:top w:val="single" w:sz="7" w:space="0" w:color="000000"/>
              <w:left w:val="single" w:sz="7" w:space="0" w:color="000000"/>
              <w:bottom w:val="single" w:sz="7" w:space="0" w:color="000000"/>
              <w:right w:val="single" w:sz="7" w:space="0" w:color="000000"/>
            </w:tcBorders>
          </w:tcPr>
          <w:p w14:paraId="3AF73F6E" w14:textId="77777777" w:rsidR="00A50EFF" w:rsidRPr="006935A4" w:rsidRDefault="00A50EFF" w:rsidP="00AF0926">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A50EFF" w:rsidRPr="00CA342E" w14:paraId="59903345" w14:textId="77777777" w:rsidTr="00AF0926">
        <w:tc>
          <w:tcPr>
            <w:tcW w:w="10170" w:type="dxa"/>
            <w:gridSpan w:val="4"/>
            <w:tcBorders>
              <w:top w:val="single" w:sz="7" w:space="0" w:color="000000"/>
              <w:left w:val="single" w:sz="7" w:space="0" w:color="000000"/>
              <w:bottom w:val="single" w:sz="7" w:space="0" w:color="000000"/>
              <w:right w:val="single" w:sz="7" w:space="0" w:color="000000"/>
            </w:tcBorders>
          </w:tcPr>
          <w:p w14:paraId="228B6AE2" w14:textId="77777777" w:rsidR="00A50EFF" w:rsidRPr="006935A4" w:rsidRDefault="00A50EFF" w:rsidP="00AF0926">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A50EFF" w:rsidRPr="00CA342E" w14:paraId="3C2D27D4" w14:textId="77777777" w:rsidTr="00AF0926">
        <w:tc>
          <w:tcPr>
            <w:tcW w:w="10170" w:type="dxa"/>
            <w:gridSpan w:val="4"/>
            <w:tcBorders>
              <w:top w:val="single" w:sz="7" w:space="0" w:color="000000"/>
              <w:left w:val="single" w:sz="7" w:space="0" w:color="000000"/>
              <w:bottom w:val="single" w:sz="7" w:space="0" w:color="000000"/>
              <w:right w:val="single" w:sz="7" w:space="0" w:color="000000"/>
            </w:tcBorders>
          </w:tcPr>
          <w:p w14:paraId="0C0BCFBC" w14:textId="63917368" w:rsidR="00A50EFF" w:rsidRPr="006935A4" w:rsidRDefault="00A50EFF" w:rsidP="00AF0926">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3B747F">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19AF5273" w14:textId="77777777" w:rsidR="00791DCE" w:rsidRPr="00734675" w:rsidRDefault="00791DCE" w:rsidP="003B747F">
      <w:pPr>
        <w:rPr>
          <w:rFonts w:ascii="Arial" w:hAnsi="Arial" w:cs="Arial"/>
        </w:rPr>
      </w:pPr>
    </w:p>
    <w:sectPr w:rsidR="00791DCE" w:rsidRPr="00734675" w:rsidSect="003B747F">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4E61" w14:textId="77777777" w:rsidR="00584D01" w:rsidRDefault="00584D01" w:rsidP="00791DCE">
      <w:pPr>
        <w:spacing w:after="0" w:line="240" w:lineRule="auto"/>
      </w:pPr>
      <w:r>
        <w:separator/>
      </w:r>
    </w:p>
  </w:endnote>
  <w:endnote w:type="continuationSeparator" w:id="0">
    <w:p w14:paraId="0283BF88" w14:textId="77777777" w:rsidR="00584D01" w:rsidRDefault="00584D01"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24624917"/>
      <w:docPartObj>
        <w:docPartGallery w:val="Page Numbers (Bottom of Page)"/>
        <w:docPartUnique/>
      </w:docPartObj>
    </w:sdtPr>
    <w:sdtEndPr/>
    <w:sdtContent>
      <w:sdt>
        <w:sdtPr>
          <w:rPr>
            <w:sz w:val="20"/>
            <w:szCs w:val="20"/>
          </w:rPr>
          <w:id w:val="1882595953"/>
          <w:docPartObj>
            <w:docPartGallery w:val="Page Numbers (Top of Page)"/>
            <w:docPartUnique/>
          </w:docPartObj>
        </w:sdtPr>
        <w:sdtEndPr/>
        <w:sdtContent>
          <w:p w14:paraId="4F819AEF" w14:textId="14020C1F" w:rsidR="003B747F" w:rsidRPr="006620EE" w:rsidRDefault="003B747F" w:rsidP="003B747F">
            <w:pPr>
              <w:pStyle w:val="Footer"/>
              <w:rPr>
                <w:rFonts w:eastAsia="Times New Roman"/>
                <w:sz w:val="20"/>
                <w:szCs w:val="20"/>
              </w:rPr>
            </w:pPr>
            <w:r w:rsidRPr="006620EE">
              <w:rPr>
                <w:sz w:val="20"/>
                <w:szCs w:val="20"/>
              </w:rPr>
              <w:t>Reviewed &amp; Revised</w:t>
            </w:r>
            <w:r>
              <w:rPr>
                <w:sz w:val="20"/>
                <w:szCs w:val="20"/>
              </w:rPr>
              <w:t xml:space="preserve"> </w:t>
            </w:r>
            <w:r w:rsidR="00EF3DB0">
              <w:rPr>
                <w:sz w:val="20"/>
                <w:szCs w:val="20"/>
              </w:rPr>
              <w:t>10</w:t>
            </w:r>
            <w:r>
              <w:rPr>
                <w:sz w:val="20"/>
                <w:szCs w:val="20"/>
              </w:rPr>
              <w:t>-20</w:t>
            </w:r>
            <w:r w:rsidR="00EF3DB0">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8593453" w:displacedByCustomXml="next"/>
  <w:sdt>
    <w:sdtPr>
      <w:rPr>
        <w:sz w:val="20"/>
        <w:szCs w:val="20"/>
      </w:rPr>
      <w:id w:val="942814295"/>
      <w:docPartObj>
        <w:docPartGallery w:val="Page Numbers (Bottom of Page)"/>
        <w:docPartUnique/>
      </w:docPartObj>
    </w:sdtPr>
    <w:sdtEndPr/>
    <w:sdtContent>
      <w:bookmarkStart w:id="2" w:name="_Hlk18593913" w:displacedByCustomXml="next"/>
      <w:sdt>
        <w:sdtPr>
          <w:rPr>
            <w:sz w:val="20"/>
            <w:szCs w:val="20"/>
          </w:rPr>
          <w:id w:val="1728636285"/>
          <w:docPartObj>
            <w:docPartGallery w:val="Page Numbers (Top of Page)"/>
            <w:docPartUnique/>
          </w:docPartObj>
        </w:sdtPr>
        <w:sdtEndPr/>
        <w:sdtContent>
          <w:p w14:paraId="5C048BEA" w14:textId="4BDC802B" w:rsidR="003B747F" w:rsidRPr="006620EE" w:rsidRDefault="003B747F" w:rsidP="003B747F">
            <w:pPr>
              <w:pStyle w:val="Footer"/>
              <w:rPr>
                <w:rFonts w:eastAsia="Times New Roman"/>
                <w:sz w:val="20"/>
                <w:szCs w:val="20"/>
              </w:rPr>
            </w:pPr>
            <w:r w:rsidRPr="006620EE">
              <w:rPr>
                <w:sz w:val="20"/>
                <w:szCs w:val="20"/>
              </w:rPr>
              <w:t>Reviewed &amp; Revised</w:t>
            </w:r>
            <w:r>
              <w:rPr>
                <w:sz w:val="20"/>
                <w:szCs w:val="20"/>
              </w:rPr>
              <w:t xml:space="preserve"> </w:t>
            </w:r>
            <w:r w:rsidR="00EF3DB0">
              <w:rPr>
                <w:sz w:val="20"/>
                <w:szCs w:val="20"/>
              </w:rPr>
              <w:t>10</w:t>
            </w:r>
            <w:r>
              <w:rPr>
                <w:sz w:val="20"/>
                <w:szCs w:val="20"/>
              </w:rPr>
              <w:t>-20</w:t>
            </w:r>
            <w:r w:rsidR="00EF3DB0">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bookmarkEnd w:id="2" w:displacedByCustomXml="next"/>
    </w:sdtContent>
  </w:sdt>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61DBD" w14:textId="77777777" w:rsidR="00584D01" w:rsidRDefault="00584D01" w:rsidP="00791DCE">
      <w:pPr>
        <w:spacing w:after="0" w:line="240" w:lineRule="auto"/>
      </w:pPr>
      <w:r>
        <w:separator/>
      </w:r>
    </w:p>
  </w:footnote>
  <w:footnote w:type="continuationSeparator" w:id="0">
    <w:p w14:paraId="16B726BC" w14:textId="77777777" w:rsidR="00584D01" w:rsidRDefault="00584D01"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5D3E" w14:textId="59A1D4BC" w:rsidR="00D144A6" w:rsidRPr="00880E15" w:rsidRDefault="00EF3DB0"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0130E8C8" wp14:editId="63D63DE9">
          <wp:simplePos x="0" y="0"/>
          <wp:positionH relativeFrom="column">
            <wp:posOffset>4124325</wp:posOffset>
          </wp:positionH>
          <wp:positionV relativeFrom="page">
            <wp:posOffset>180975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31E0C2E1"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D026" w14:textId="382A55D2" w:rsidR="00D144A6" w:rsidRPr="00880E15" w:rsidRDefault="00EF3DB0" w:rsidP="00593809">
    <w:pPr>
      <w:pStyle w:val="Header"/>
      <w:rPr>
        <w:rFonts w:ascii="Arial" w:hAnsi="Arial" w:cs="Arial"/>
        <w:sz w:val="24"/>
        <w:szCs w:val="24"/>
      </w:rPr>
    </w:pPr>
    <w:r>
      <w:rPr>
        <w:noProof/>
        <w:sz w:val="48"/>
        <w:szCs w:val="48"/>
      </w:rPr>
      <w:drawing>
        <wp:anchor distT="0" distB="0" distL="114300" distR="114300" simplePos="0" relativeHeight="251661312" behindDoc="0" locked="0" layoutInCell="1" allowOverlap="0" wp14:anchorId="1F9D40F1" wp14:editId="68BA42FD">
          <wp:simplePos x="0" y="0"/>
          <wp:positionH relativeFrom="column">
            <wp:posOffset>4162425</wp:posOffset>
          </wp:positionH>
          <wp:positionV relativeFrom="page">
            <wp:posOffset>238125</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w:t>
    </w:r>
    <w:r w:rsidR="0058553F">
      <w:rPr>
        <w:rFonts w:ascii="Arial" w:hAnsi="Arial" w:cs="Arial"/>
        <w:sz w:val="24"/>
        <w:szCs w:val="24"/>
      </w:rPr>
      <w:t>O</w:t>
    </w:r>
    <w:r w:rsidR="00F61B9C">
      <w:rPr>
        <w:rFonts w:ascii="Arial" w:hAnsi="Arial" w:cs="Arial"/>
        <w:sz w:val="24"/>
        <w:szCs w:val="24"/>
      </w:rPr>
      <w:t>P Example</w:t>
    </w:r>
  </w:p>
  <w:p w14:paraId="1E012EC1" w14:textId="74690391"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2"/>
  </w:num>
  <w:num w:numId="3">
    <w:abstractNumId w:val="18"/>
  </w:num>
  <w:num w:numId="4">
    <w:abstractNumId w:val="19"/>
  </w:num>
  <w:num w:numId="5">
    <w:abstractNumId w:val="5"/>
  </w:num>
  <w:num w:numId="6">
    <w:abstractNumId w:val="2"/>
  </w:num>
  <w:num w:numId="7">
    <w:abstractNumId w:val="17"/>
  </w:num>
  <w:num w:numId="8">
    <w:abstractNumId w:val="6"/>
  </w:num>
  <w:num w:numId="9">
    <w:abstractNumId w:val="13"/>
  </w:num>
  <w:num w:numId="10">
    <w:abstractNumId w:val="15"/>
  </w:num>
  <w:num w:numId="11">
    <w:abstractNumId w:val="3"/>
  </w:num>
  <w:num w:numId="12">
    <w:abstractNumId w:val="1"/>
  </w:num>
  <w:num w:numId="13">
    <w:abstractNumId w:val="4"/>
  </w:num>
  <w:num w:numId="14">
    <w:abstractNumId w:val="11"/>
  </w:num>
  <w:num w:numId="15">
    <w:abstractNumId w:val="8"/>
  </w:num>
  <w:num w:numId="16">
    <w:abstractNumId w:val="9"/>
  </w:num>
  <w:num w:numId="17">
    <w:abstractNumId w:val="16"/>
  </w:num>
  <w:num w:numId="18">
    <w:abstractNumId w:val="7"/>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25526"/>
    <w:rsid w:val="00041128"/>
    <w:rsid w:val="00050529"/>
    <w:rsid w:val="000519D9"/>
    <w:rsid w:val="00064CE1"/>
    <w:rsid w:val="0009183B"/>
    <w:rsid w:val="00091E15"/>
    <w:rsid w:val="00094DF5"/>
    <w:rsid w:val="000C16A6"/>
    <w:rsid w:val="000C5690"/>
    <w:rsid w:val="00112DED"/>
    <w:rsid w:val="00146FDE"/>
    <w:rsid w:val="00160092"/>
    <w:rsid w:val="001749F2"/>
    <w:rsid w:val="001C0A18"/>
    <w:rsid w:val="001C6D5E"/>
    <w:rsid w:val="001E251E"/>
    <w:rsid w:val="001E5368"/>
    <w:rsid w:val="001F009C"/>
    <w:rsid w:val="001F5924"/>
    <w:rsid w:val="002161B3"/>
    <w:rsid w:val="002233AE"/>
    <w:rsid w:val="00225A6A"/>
    <w:rsid w:val="00226B54"/>
    <w:rsid w:val="00264B99"/>
    <w:rsid w:val="002B5567"/>
    <w:rsid w:val="002B7CDD"/>
    <w:rsid w:val="002C03DA"/>
    <w:rsid w:val="002E13BD"/>
    <w:rsid w:val="002E35E8"/>
    <w:rsid w:val="00301861"/>
    <w:rsid w:val="00305641"/>
    <w:rsid w:val="00332EB2"/>
    <w:rsid w:val="00343304"/>
    <w:rsid w:val="00344F43"/>
    <w:rsid w:val="0037774F"/>
    <w:rsid w:val="0039721A"/>
    <w:rsid w:val="003B73DB"/>
    <w:rsid w:val="003B747F"/>
    <w:rsid w:val="003C0C99"/>
    <w:rsid w:val="003C2195"/>
    <w:rsid w:val="0040497F"/>
    <w:rsid w:val="00424118"/>
    <w:rsid w:val="0046178C"/>
    <w:rsid w:val="004B0494"/>
    <w:rsid w:val="004F0832"/>
    <w:rsid w:val="00505187"/>
    <w:rsid w:val="0056357D"/>
    <w:rsid w:val="00570987"/>
    <w:rsid w:val="00584D01"/>
    <w:rsid w:val="0058553F"/>
    <w:rsid w:val="00585DFF"/>
    <w:rsid w:val="00592047"/>
    <w:rsid w:val="00593809"/>
    <w:rsid w:val="005956E6"/>
    <w:rsid w:val="005B4EF7"/>
    <w:rsid w:val="005C19F5"/>
    <w:rsid w:val="005D76CB"/>
    <w:rsid w:val="00603670"/>
    <w:rsid w:val="00615833"/>
    <w:rsid w:val="006249ED"/>
    <w:rsid w:val="00655065"/>
    <w:rsid w:val="006602B4"/>
    <w:rsid w:val="006B17B8"/>
    <w:rsid w:val="006C3056"/>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4A63"/>
    <w:rsid w:val="007A617B"/>
    <w:rsid w:val="007A6250"/>
    <w:rsid w:val="007D1125"/>
    <w:rsid w:val="007D2AB0"/>
    <w:rsid w:val="007E1367"/>
    <w:rsid w:val="008123D3"/>
    <w:rsid w:val="00815085"/>
    <w:rsid w:val="00825750"/>
    <w:rsid w:val="00840EE6"/>
    <w:rsid w:val="00857D9E"/>
    <w:rsid w:val="00861B14"/>
    <w:rsid w:val="00881BA6"/>
    <w:rsid w:val="00886E41"/>
    <w:rsid w:val="00894557"/>
    <w:rsid w:val="008E0909"/>
    <w:rsid w:val="008F51E9"/>
    <w:rsid w:val="00904284"/>
    <w:rsid w:val="0090627E"/>
    <w:rsid w:val="00914AA3"/>
    <w:rsid w:val="009426B6"/>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724A9"/>
    <w:rsid w:val="00B94DC7"/>
    <w:rsid w:val="00BA1F99"/>
    <w:rsid w:val="00BB1BB9"/>
    <w:rsid w:val="00BC3C68"/>
    <w:rsid w:val="00BE57CC"/>
    <w:rsid w:val="00BF6CC5"/>
    <w:rsid w:val="00BF6E01"/>
    <w:rsid w:val="00C65B52"/>
    <w:rsid w:val="00C65D2D"/>
    <w:rsid w:val="00C824B3"/>
    <w:rsid w:val="00CA40B8"/>
    <w:rsid w:val="00CB1DF3"/>
    <w:rsid w:val="00CC2D4E"/>
    <w:rsid w:val="00CC5292"/>
    <w:rsid w:val="00CC7A50"/>
    <w:rsid w:val="00CD4B41"/>
    <w:rsid w:val="00CD4F14"/>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3DB0"/>
    <w:rsid w:val="00EF682B"/>
    <w:rsid w:val="00EF7E20"/>
    <w:rsid w:val="00F04347"/>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0D14E"/>
  <w15:docId w15:val="{668EC310-C884-46FD-9437-62A73478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3B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75F8-30AF-4ECA-B2CE-5221CAD1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7</cp:revision>
  <cp:lastPrinted>2012-01-11T17:54:00Z</cp:lastPrinted>
  <dcterms:created xsi:type="dcterms:W3CDTF">2012-02-09T22:18:00Z</dcterms:created>
  <dcterms:modified xsi:type="dcterms:W3CDTF">2022-10-24T17:38:00Z</dcterms:modified>
</cp:coreProperties>
</file>