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1550" w14:textId="77777777" w:rsidR="001E63CC" w:rsidRDefault="001E63CC" w:rsidP="001E63CC">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sz w:val="24"/>
          <w:szCs w:val="24"/>
        </w:rPr>
      </w:pPr>
    </w:p>
    <w:p w14:paraId="054661E0" w14:textId="77777777" w:rsidR="005227F8" w:rsidRPr="00F10D3F" w:rsidRDefault="005227F8" w:rsidP="005227F8">
      <w:pPr>
        <w:autoSpaceDE w:val="0"/>
        <w:autoSpaceDN w:val="0"/>
        <w:adjustRightInd w:val="0"/>
        <w:jc w:val="center"/>
        <w:rPr>
          <w:rFonts w:ascii="Arial" w:hAnsi="Arial" w:cs="Arial"/>
          <w:b/>
          <w:bCs/>
          <w:color w:val="000000"/>
          <w:sz w:val="24"/>
          <w:szCs w:val="24"/>
        </w:rPr>
      </w:pPr>
      <w:r w:rsidRPr="00433685">
        <w:rPr>
          <w:rFonts w:ascii="Arial" w:hAnsi="Arial" w:cs="Arial"/>
          <w:b/>
          <w:bCs/>
          <w:color w:val="000000"/>
          <w:sz w:val="24"/>
          <w:szCs w:val="24"/>
        </w:rPr>
        <w:t>High Temperature Furnace and Tube Furnace</w:t>
      </w:r>
      <w:r>
        <w:rPr>
          <w:rFonts w:ascii="Arial" w:hAnsi="Arial" w:cs="Arial"/>
          <w:b/>
          <w:bCs/>
          <w:color w:val="000000"/>
          <w:sz w:val="24"/>
          <w:szCs w:val="24"/>
        </w:rPr>
        <w:t xml:space="preserve">                                             </w:t>
      </w:r>
    </w:p>
    <w:p w14:paraId="7825909C" w14:textId="77777777" w:rsidR="005227F8" w:rsidRPr="005227F8" w:rsidRDefault="005227F8" w:rsidP="001440F0">
      <w:pPr>
        <w:autoSpaceDE w:val="0"/>
        <w:autoSpaceDN w:val="0"/>
        <w:adjustRightInd w:val="0"/>
        <w:jc w:val="both"/>
        <w:rPr>
          <w:rFonts w:ascii="Arial" w:hAnsi="Arial" w:cs="Arial"/>
          <w:bCs/>
          <w:color w:val="000000"/>
        </w:rPr>
      </w:pPr>
      <w:r w:rsidRPr="005227F8">
        <w:rPr>
          <w:rFonts w:ascii="Arial" w:hAnsi="Arial" w:cs="Arial"/>
          <w:b/>
          <w:bCs/>
          <w:color w:val="000000"/>
        </w:rPr>
        <w:t>Purpose and Scope:</w:t>
      </w:r>
    </w:p>
    <w:p w14:paraId="5429B762" w14:textId="77777777" w:rsidR="005227F8" w:rsidRPr="005227F8" w:rsidRDefault="005227F8" w:rsidP="001440F0">
      <w:pPr>
        <w:autoSpaceDE w:val="0"/>
        <w:autoSpaceDN w:val="0"/>
        <w:adjustRightInd w:val="0"/>
        <w:jc w:val="both"/>
        <w:rPr>
          <w:rFonts w:ascii="Arial" w:hAnsi="Arial" w:cs="Arial"/>
          <w:color w:val="000000"/>
        </w:rPr>
      </w:pPr>
      <w:r w:rsidRPr="005227F8">
        <w:rPr>
          <w:rFonts w:ascii="Arial" w:hAnsi="Arial" w:cs="Arial"/>
          <w:color w:val="000000"/>
        </w:rPr>
        <w:t>This document describes the procedures and policies for using High Temperature and Tube furnaces. The scope of this document is to establish user procedures. Instrument maintenance and repair are outside the scope of this document.</w:t>
      </w:r>
    </w:p>
    <w:p w14:paraId="5F6D0BEF" w14:textId="77777777" w:rsidR="005227F8" w:rsidRPr="005227F8" w:rsidRDefault="005227F8" w:rsidP="001440F0">
      <w:pPr>
        <w:autoSpaceDE w:val="0"/>
        <w:autoSpaceDN w:val="0"/>
        <w:adjustRightInd w:val="0"/>
        <w:jc w:val="both"/>
        <w:rPr>
          <w:rFonts w:ascii="Arial" w:hAnsi="Arial" w:cs="Arial"/>
          <w:bCs/>
          <w:color w:val="000000"/>
        </w:rPr>
      </w:pPr>
      <w:r w:rsidRPr="005227F8">
        <w:rPr>
          <w:rFonts w:ascii="Arial" w:hAnsi="Arial" w:cs="Arial"/>
          <w:b/>
          <w:bCs/>
          <w:color w:val="000000"/>
        </w:rPr>
        <w:t>Responsibilities:</w:t>
      </w:r>
    </w:p>
    <w:p w14:paraId="756FA7C9" w14:textId="77777777" w:rsidR="005227F8" w:rsidRPr="005227F8" w:rsidRDefault="005227F8" w:rsidP="001440F0">
      <w:pPr>
        <w:autoSpaceDE w:val="0"/>
        <w:autoSpaceDN w:val="0"/>
        <w:adjustRightInd w:val="0"/>
        <w:jc w:val="both"/>
        <w:rPr>
          <w:rFonts w:ascii="Arial" w:hAnsi="Arial" w:cs="Arial"/>
          <w:color w:val="000000"/>
        </w:rPr>
      </w:pPr>
      <w:r w:rsidRPr="005227F8">
        <w:rPr>
          <w:rFonts w:ascii="Arial" w:hAnsi="Arial" w:cs="Arial"/>
          <w:color w:val="000000"/>
        </w:rPr>
        <w:t>This document is maintained by the department Lab manager or Scientific Instructional Technician (SIT). The SIT is responsible for general maintenance and for arranging repair when necessary. If you feel that the instrument is in need of repair or is not operating correctly please notify the SIT immediately. The SIT will operate the instruments according to the procedures set down in this document and will provide instruction and training to users within the department. Users are responsible for using the instrument described according to these procedures. These procedures assume that the user has had at least one training session.</w:t>
      </w:r>
    </w:p>
    <w:p w14:paraId="5784D3A9" w14:textId="77777777" w:rsidR="005227F8" w:rsidRPr="005227F8" w:rsidRDefault="005227F8" w:rsidP="001440F0">
      <w:pPr>
        <w:autoSpaceDE w:val="0"/>
        <w:autoSpaceDN w:val="0"/>
        <w:adjustRightInd w:val="0"/>
        <w:jc w:val="both"/>
        <w:rPr>
          <w:rFonts w:ascii="Arial" w:hAnsi="Arial" w:cs="Arial"/>
          <w:bCs/>
          <w:color w:val="000000"/>
        </w:rPr>
      </w:pPr>
      <w:r w:rsidRPr="005227F8">
        <w:rPr>
          <w:rFonts w:ascii="Arial" w:hAnsi="Arial" w:cs="Arial"/>
          <w:b/>
          <w:bCs/>
          <w:color w:val="000000"/>
        </w:rPr>
        <w:t>Definitions:</w:t>
      </w:r>
    </w:p>
    <w:p w14:paraId="1DB8EE29" w14:textId="77777777" w:rsidR="005227F8" w:rsidRPr="005227F8" w:rsidRDefault="005227F8" w:rsidP="001440F0">
      <w:pPr>
        <w:autoSpaceDE w:val="0"/>
        <w:autoSpaceDN w:val="0"/>
        <w:adjustRightInd w:val="0"/>
        <w:jc w:val="both"/>
        <w:rPr>
          <w:rFonts w:ascii="Arial" w:hAnsi="Arial" w:cs="Arial"/>
          <w:color w:val="000000"/>
        </w:rPr>
      </w:pPr>
      <w:r w:rsidRPr="005227F8">
        <w:rPr>
          <w:rFonts w:ascii="Arial" w:hAnsi="Arial" w:cs="Arial"/>
          <w:color w:val="000000"/>
        </w:rPr>
        <w:t>N/A</w:t>
      </w:r>
    </w:p>
    <w:p w14:paraId="5A9566B8" w14:textId="77777777" w:rsidR="005227F8" w:rsidRPr="005227F8" w:rsidRDefault="005227F8" w:rsidP="001440F0">
      <w:pPr>
        <w:autoSpaceDE w:val="0"/>
        <w:autoSpaceDN w:val="0"/>
        <w:adjustRightInd w:val="0"/>
        <w:jc w:val="both"/>
        <w:rPr>
          <w:rFonts w:ascii="Arial" w:hAnsi="Arial" w:cs="Arial"/>
          <w:bCs/>
          <w:color w:val="000000"/>
        </w:rPr>
      </w:pPr>
      <w:r w:rsidRPr="005227F8">
        <w:rPr>
          <w:rFonts w:ascii="Arial" w:hAnsi="Arial" w:cs="Arial"/>
          <w:b/>
          <w:bCs/>
          <w:color w:val="000000"/>
        </w:rPr>
        <w:t>Prerequisites:</w:t>
      </w:r>
    </w:p>
    <w:p w14:paraId="30929A27" w14:textId="77777777" w:rsidR="005227F8" w:rsidRPr="005227F8" w:rsidRDefault="005227F8" w:rsidP="001440F0">
      <w:pPr>
        <w:autoSpaceDE w:val="0"/>
        <w:autoSpaceDN w:val="0"/>
        <w:adjustRightInd w:val="0"/>
        <w:jc w:val="both"/>
        <w:rPr>
          <w:rFonts w:ascii="Arial" w:hAnsi="Arial" w:cs="Arial"/>
          <w:color w:val="000000"/>
        </w:rPr>
      </w:pPr>
      <w:r w:rsidRPr="005227F8">
        <w:rPr>
          <w:rFonts w:ascii="Arial" w:hAnsi="Arial" w:cs="Arial"/>
          <w:color w:val="000000"/>
        </w:rPr>
        <w:t>All users must read this document and obtain approval and training from the SIT.</w:t>
      </w:r>
    </w:p>
    <w:p w14:paraId="0330A6EF" w14:textId="77777777" w:rsidR="005227F8" w:rsidRPr="005227F8" w:rsidRDefault="005227F8" w:rsidP="001440F0">
      <w:pPr>
        <w:autoSpaceDE w:val="0"/>
        <w:autoSpaceDN w:val="0"/>
        <w:adjustRightInd w:val="0"/>
        <w:jc w:val="both"/>
        <w:rPr>
          <w:rFonts w:ascii="Arial" w:hAnsi="Arial" w:cs="Arial"/>
          <w:bCs/>
          <w:color w:val="000000"/>
        </w:rPr>
      </w:pPr>
      <w:r w:rsidRPr="005227F8">
        <w:rPr>
          <w:rFonts w:ascii="Arial" w:hAnsi="Arial" w:cs="Arial"/>
          <w:b/>
          <w:bCs/>
          <w:color w:val="000000"/>
        </w:rPr>
        <w:t>Precautions:</w:t>
      </w:r>
    </w:p>
    <w:p w14:paraId="7C80CD5A" w14:textId="77777777" w:rsidR="005227F8" w:rsidRPr="005227F8" w:rsidRDefault="005227F8" w:rsidP="001440F0">
      <w:pPr>
        <w:autoSpaceDE w:val="0"/>
        <w:autoSpaceDN w:val="0"/>
        <w:adjustRightInd w:val="0"/>
        <w:jc w:val="both"/>
        <w:rPr>
          <w:rFonts w:ascii="Arial" w:hAnsi="Arial" w:cs="Arial"/>
          <w:color w:val="000000"/>
        </w:rPr>
      </w:pPr>
      <w:r w:rsidRPr="005227F8">
        <w:rPr>
          <w:rFonts w:ascii="Arial" w:hAnsi="Arial" w:cs="Arial"/>
          <w:color w:val="000000"/>
        </w:rPr>
        <w:t>Use the proper safety equipment and safety protocols when using these furnaces. They reach a temperature of 1700 Celsius. The elements for the furnaces are exposed and can be easily damaged if bumped or scraped. They are very expensive to replace. The furnace elements are operated at a high current and can be dangerous if touched.</w:t>
      </w:r>
    </w:p>
    <w:p w14:paraId="7452EE2E" w14:textId="77777777" w:rsidR="005227F8" w:rsidRPr="005227F8" w:rsidRDefault="005227F8" w:rsidP="001440F0">
      <w:pPr>
        <w:autoSpaceDE w:val="0"/>
        <w:autoSpaceDN w:val="0"/>
        <w:adjustRightInd w:val="0"/>
        <w:jc w:val="both"/>
        <w:rPr>
          <w:rFonts w:ascii="Arial" w:hAnsi="Arial" w:cs="Arial"/>
          <w:color w:val="000000"/>
        </w:rPr>
      </w:pPr>
      <w:r w:rsidRPr="005227F8">
        <w:rPr>
          <w:rFonts w:ascii="Arial" w:hAnsi="Arial" w:cs="Arial"/>
          <w:color w:val="000000"/>
        </w:rPr>
        <w:t>Do not attempt repair or service. If service is required, contact your supervisor or the SIT immediately. Always use the provided hearth plate on the bottom of the furnace.</w:t>
      </w:r>
    </w:p>
    <w:p w14:paraId="2C884EA0" w14:textId="77777777" w:rsidR="005227F8" w:rsidRPr="005227F8" w:rsidRDefault="005227F8" w:rsidP="001440F0">
      <w:pPr>
        <w:autoSpaceDE w:val="0"/>
        <w:autoSpaceDN w:val="0"/>
        <w:adjustRightInd w:val="0"/>
        <w:jc w:val="both"/>
        <w:rPr>
          <w:rFonts w:ascii="Arial" w:hAnsi="Arial" w:cs="Arial"/>
          <w:color w:val="000000"/>
        </w:rPr>
      </w:pPr>
      <w:r w:rsidRPr="005227F8">
        <w:rPr>
          <w:rFonts w:ascii="Arial" w:hAnsi="Arial" w:cs="Arial"/>
          <w:color w:val="000000"/>
        </w:rPr>
        <w:t xml:space="preserve">If material being used is hazardous or contains burn-off products that can damage the furnace the user must first make arrangements with the SIT or </w:t>
      </w:r>
      <w:proofErr w:type="gramStart"/>
      <w:r w:rsidRPr="005227F8">
        <w:rPr>
          <w:rFonts w:ascii="Arial" w:hAnsi="Arial" w:cs="Arial"/>
          <w:color w:val="000000"/>
        </w:rPr>
        <w:t>supervisor..</w:t>
      </w:r>
      <w:proofErr w:type="gramEnd"/>
    </w:p>
    <w:p w14:paraId="043D29F8" w14:textId="77777777" w:rsidR="005227F8" w:rsidRPr="005227F8" w:rsidRDefault="005227F8" w:rsidP="001440F0">
      <w:pPr>
        <w:autoSpaceDE w:val="0"/>
        <w:autoSpaceDN w:val="0"/>
        <w:adjustRightInd w:val="0"/>
        <w:jc w:val="both"/>
        <w:rPr>
          <w:rFonts w:ascii="Arial" w:hAnsi="Arial" w:cs="Arial"/>
          <w:bCs/>
          <w:color w:val="000000"/>
        </w:rPr>
      </w:pPr>
      <w:r w:rsidRPr="005227F8">
        <w:rPr>
          <w:rFonts w:ascii="Arial" w:hAnsi="Arial" w:cs="Arial"/>
          <w:b/>
          <w:bCs/>
          <w:color w:val="000000"/>
        </w:rPr>
        <w:t>Procedure:</w:t>
      </w:r>
    </w:p>
    <w:p w14:paraId="397FBA67" w14:textId="77777777" w:rsidR="005227F8" w:rsidRPr="005227F8" w:rsidRDefault="005227F8" w:rsidP="001440F0">
      <w:pPr>
        <w:autoSpaceDE w:val="0"/>
        <w:autoSpaceDN w:val="0"/>
        <w:adjustRightInd w:val="0"/>
        <w:jc w:val="both"/>
        <w:rPr>
          <w:rFonts w:ascii="Arial" w:hAnsi="Arial" w:cs="Arial"/>
          <w:color w:val="000000"/>
        </w:rPr>
      </w:pPr>
      <w:r w:rsidRPr="005227F8">
        <w:rPr>
          <w:rFonts w:ascii="Arial" w:hAnsi="Arial" w:cs="Arial"/>
          <w:color w:val="000000"/>
        </w:rPr>
        <w:t>Following is a step by step description of a general operating procedure. Each process can be unique and some steps may not be required or the order may vary.</w:t>
      </w:r>
    </w:p>
    <w:p w14:paraId="741EDACE"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t>Determine the type of process required before beginning. If your process doesn’t require temperatures above 1000 Celsius then please use a box furnace. If your process will utilize temperatures below 1000 Celsius it could damage the elements</w:t>
      </w:r>
    </w:p>
    <w:p w14:paraId="5EBD056C"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lastRenderedPageBreak/>
        <w:t>Check that the furnace is available.</w:t>
      </w:r>
    </w:p>
    <w:p w14:paraId="1485F25A"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t>Fill out the furnace use log.</w:t>
      </w:r>
    </w:p>
    <w:p w14:paraId="71AF32AB"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t>Program the furnace: See controller manual.</w:t>
      </w:r>
    </w:p>
    <w:p w14:paraId="6937D15D"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t xml:space="preserve">Place the material carefully in the furnace. Do not touch the edges. Do not put material in the furnace that is too big or that could boil over, sputter, or in any other way cause damage to the furnace. It is best to maintain a </w:t>
      </w:r>
      <w:r w:rsidRPr="005227F8">
        <w:rPr>
          <w:rFonts w:cs="Arial"/>
          <w:color w:val="000000"/>
        </w:rPr>
        <w:t>􀀁</w:t>
      </w:r>
      <w:r w:rsidRPr="005227F8">
        <w:rPr>
          <w:rFonts w:ascii="Arial" w:hAnsi="Arial" w:cs="Arial"/>
          <w:color w:val="000000"/>
        </w:rPr>
        <w:t>” clearance around all items in the furnace to assure proper convective currents around your sample. Placing the samples on stands assures currents around the majority of the bottom of the sample.</w:t>
      </w:r>
    </w:p>
    <w:p w14:paraId="1D67D7BF"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t xml:space="preserve"> Material should be placed in the furnace before starting the program. Opening the furnace at high temperatures will damage the elements.</w:t>
      </w:r>
    </w:p>
    <w:p w14:paraId="33CC70A3"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t>High temperature gloves, face shields, and furnace tongs are provided for your safety.</w:t>
      </w:r>
    </w:p>
    <w:p w14:paraId="4509E42C"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t>Do not set materials from the furnace onto any wood surfaces. There is a metal table and high temperature refractory materials in the lab for that purpose.</w:t>
      </w:r>
    </w:p>
    <w:p w14:paraId="2783465A"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t xml:space="preserve"> Do not hesitate to ask questions.</w:t>
      </w:r>
    </w:p>
    <w:p w14:paraId="722EA06B" w14:textId="77777777" w:rsidR="005227F8" w:rsidRPr="005227F8" w:rsidRDefault="005227F8" w:rsidP="001440F0">
      <w:pPr>
        <w:numPr>
          <w:ilvl w:val="0"/>
          <w:numId w:val="12"/>
        </w:numPr>
        <w:autoSpaceDE w:val="0"/>
        <w:autoSpaceDN w:val="0"/>
        <w:adjustRightInd w:val="0"/>
        <w:jc w:val="both"/>
        <w:rPr>
          <w:rFonts w:ascii="Arial" w:hAnsi="Arial" w:cs="Arial"/>
          <w:color w:val="000000"/>
        </w:rPr>
      </w:pPr>
      <w:r w:rsidRPr="005227F8">
        <w:rPr>
          <w:rFonts w:ascii="Arial" w:hAnsi="Arial" w:cs="Arial"/>
          <w:color w:val="000000"/>
        </w:rPr>
        <w:t xml:space="preserve">A burn kit is available in the lab. If an accident occurs that is life threatening, call 911 immediately. If a minor accident occurs, it is recommended that the injured party go to Student Health Service and also to fill out an accident report. </w:t>
      </w:r>
    </w:p>
    <w:p w14:paraId="01CD0BC8" w14:textId="77777777" w:rsidR="005227F8" w:rsidRPr="005227F8" w:rsidRDefault="005227F8" w:rsidP="001440F0">
      <w:pPr>
        <w:autoSpaceDE w:val="0"/>
        <w:autoSpaceDN w:val="0"/>
        <w:adjustRightInd w:val="0"/>
        <w:jc w:val="both"/>
        <w:rPr>
          <w:rFonts w:ascii="Arial" w:hAnsi="Arial" w:cs="Arial"/>
          <w:bCs/>
          <w:color w:val="000000"/>
        </w:rPr>
      </w:pPr>
      <w:r w:rsidRPr="005227F8">
        <w:rPr>
          <w:rFonts w:ascii="Arial" w:hAnsi="Arial" w:cs="Arial"/>
          <w:b/>
          <w:bCs/>
          <w:color w:val="000000"/>
        </w:rPr>
        <w:t>Implementation and Training:</w:t>
      </w:r>
      <w:bookmarkStart w:id="0" w:name="_GoBack"/>
      <w:bookmarkEnd w:id="0"/>
    </w:p>
    <w:p w14:paraId="3249A224" w14:textId="77777777" w:rsidR="005227F8" w:rsidRPr="005227F8" w:rsidRDefault="005227F8" w:rsidP="001440F0">
      <w:pPr>
        <w:autoSpaceDE w:val="0"/>
        <w:autoSpaceDN w:val="0"/>
        <w:adjustRightInd w:val="0"/>
        <w:jc w:val="both"/>
        <w:rPr>
          <w:rFonts w:ascii="Arial" w:hAnsi="Arial" w:cs="Arial"/>
        </w:rPr>
      </w:pPr>
      <w:r w:rsidRPr="005227F8">
        <w:rPr>
          <w:rFonts w:ascii="Arial" w:hAnsi="Arial" w:cs="Arial"/>
          <w:color w:val="000000"/>
        </w:rPr>
        <w:t xml:space="preserve">This SP will be available to all users and must be adhered to. </w:t>
      </w: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5227F8" w:rsidRPr="005227F8" w14:paraId="5C6078B1" w14:textId="77777777" w:rsidTr="008C1EC7">
        <w:tc>
          <w:tcPr>
            <w:tcW w:w="10080" w:type="dxa"/>
            <w:tcBorders>
              <w:top w:val="double" w:sz="7" w:space="0" w:color="000000"/>
              <w:left w:val="single" w:sz="7" w:space="0" w:color="000000"/>
              <w:bottom w:val="single" w:sz="7" w:space="0" w:color="000000"/>
              <w:right w:val="single" w:sz="7" w:space="0" w:color="000000"/>
            </w:tcBorders>
          </w:tcPr>
          <w:p w14:paraId="4DDE188B" w14:textId="77777777" w:rsidR="005227F8" w:rsidRPr="005227F8" w:rsidRDefault="005227F8" w:rsidP="001440F0">
            <w:pPr>
              <w:tabs>
                <w:tab w:val="left" w:pos="5460"/>
              </w:tabs>
              <w:spacing w:before="60"/>
              <w:jc w:val="both"/>
              <w:rPr>
                <w:rFonts w:ascii="Arial" w:hAnsi="Arial" w:cs="Arial"/>
                <w:color w:val="000000"/>
              </w:rPr>
            </w:pPr>
            <w:r w:rsidRPr="005227F8">
              <w:rPr>
                <w:rFonts w:ascii="Arial" w:hAnsi="Arial" w:cs="Arial"/>
                <w:color w:val="000000"/>
              </w:rPr>
              <w:t>Name (print) (Assessor):</w:t>
            </w:r>
            <w:r w:rsidRPr="005227F8">
              <w:rPr>
                <w:rFonts w:ascii="Arial" w:hAnsi="Arial" w:cs="Arial"/>
                <w:color w:val="000000"/>
              </w:rPr>
              <w:tab/>
              <w:t xml:space="preserve">                    Title:</w:t>
            </w:r>
          </w:p>
        </w:tc>
      </w:tr>
      <w:tr w:rsidR="005227F8" w:rsidRPr="005227F8" w14:paraId="1A9FBB9D" w14:textId="77777777" w:rsidTr="008C1EC7">
        <w:tc>
          <w:tcPr>
            <w:tcW w:w="10080" w:type="dxa"/>
            <w:tcBorders>
              <w:top w:val="single" w:sz="7" w:space="0" w:color="000000"/>
              <w:left w:val="single" w:sz="7" w:space="0" w:color="000000"/>
              <w:bottom w:val="single" w:sz="7" w:space="0" w:color="000000"/>
              <w:right w:val="single" w:sz="7" w:space="0" w:color="000000"/>
            </w:tcBorders>
          </w:tcPr>
          <w:p w14:paraId="7C03033A" w14:textId="77777777" w:rsidR="005227F8" w:rsidRPr="005227F8" w:rsidRDefault="005227F8" w:rsidP="001440F0">
            <w:pPr>
              <w:tabs>
                <w:tab w:val="left" w:pos="6450"/>
              </w:tabs>
              <w:spacing w:before="60"/>
              <w:jc w:val="both"/>
              <w:rPr>
                <w:rFonts w:ascii="Arial" w:hAnsi="Arial" w:cs="Arial"/>
                <w:color w:val="000000"/>
              </w:rPr>
            </w:pPr>
            <w:r w:rsidRPr="005227F8">
              <w:rPr>
                <w:rFonts w:ascii="Arial" w:hAnsi="Arial" w:cs="Arial"/>
                <w:color w:val="000000"/>
              </w:rPr>
              <w:t>Signature (Assessor):</w:t>
            </w:r>
            <w:r w:rsidRPr="005227F8">
              <w:rPr>
                <w:rFonts w:ascii="Arial" w:hAnsi="Arial" w:cs="Arial"/>
                <w:color w:val="000000"/>
              </w:rPr>
              <w:tab/>
              <w:t xml:space="preserve">Date:                                     </w:t>
            </w:r>
          </w:p>
        </w:tc>
      </w:tr>
      <w:tr w:rsidR="005227F8" w:rsidRPr="005227F8" w14:paraId="31E8520E" w14:textId="77777777" w:rsidTr="008C1EC7">
        <w:tc>
          <w:tcPr>
            <w:tcW w:w="10080" w:type="dxa"/>
            <w:tcBorders>
              <w:top w:val="single" w:sz="7" w:space="0" w:color="000000"/>
              <w:left w:val="single" w:sz="7" w:space="0" w:color="000000"/>
              <w:bottom w:val="single" w:sz="7" w:space="0" w:color="000000"/>
              <w:right w:val="single" w:sz="7" w:space="0" w:color="000000"/>
            </w:tcBorders>
          </w:tcPr>
          <w:p w14:paraId="7CED2D1B" w14:textId="77777777" w:rsidR="005227F8" w:rsidRPr="005227F8" w:rsidRDefault="005227F8" w:rsidP="001440F0">
            <w:pPr>
              <w:tabs>
                <w:tab w:val="left" w:pos="6450"/>
              </w:tabs>
              <w:spacing w:before="60"/>
              <w:jc w:val="both"/>
              <w:rPr>
                <w:rFonts w:ascii="Arial" w:hAnsi="Arial" w:cs="Arial"/>
                <w:color w:val="000000"/>
              </w:rPr>
            </w:pPr>
            <w:r w:rsidRPr="005227F8">
              <w:rPr>
                <w:rFonts w:ascii="Arial" w:hAnsi="Arial" w:cs="Arial"/>
                <w:color w:val="000000"/>
              </w:rPr>
              <w:t>Name (print) (PI, Lab Manager, or Unit Head):</w:t>
            </w:r>
            <w:r w:rsidRPr="005227F8">
              <w:rPr>
                <w:rFonts w:ascii="Arial" w:hAnsi="Arial" w:cs="Arial"/>
                <w:color w:val="000000"/>
              </w:rPr>
              <w:tab/>
              <w:t>Title:</w:t>
            </w:r>
          </w:p>
        </w:tc>
      </w:tr>
      <w:tr w:rsidR="005227F8" w:rsidRPr="005227F8" w14:paraId="088B2CA3" w14:textId="77777777" w:rsidTr="008C1EC7">
        <w:tc>
          <w:tcPr>
            <w:tcW w:w="10080" w:type="dxa"/>
            <w:tcBorders>
              <w:top w:val="single" w:sz="7" w:space="0" w:color="000000"/>
              <w:left w:val="single" w:sz="7" w:space="0" w:color="000000"/>
              <w:bottom w:val="single" w:sz="7" w:space="0" w:color="000000"/>
              <w:right w:val="single" w:sz="7" w:space="0" w:color="000000"/>
            </w:tcBorders>
          </w:tcPr>
          <w:p w14:paraId="38A0B6A2" w14:textId="77777777" w:rsidR="005227F8" w:rsidRPr="005227F8" w:rsidRDefault="005227F8" w:rsidP="001440F0">
            <w:pPr>
              <w:tabs>
                <w:tab w:val="left" w:pos="6450"/>
              </w:tabs>
              <w:spacing w:before="60"/>
              <w:jc w:val="both"/>
              <w:rPr>
                <w:rFonts w:ascii="Arial" w:hAnsi="Arial" w:cs="Arial"/>
                <w:color w:val="000000"/>
              </w:rPr>
            </w:pPr>
            <w:r w:rsidRPr="005227F8">
              <w:rPr>
                <w:rFonts w:ascii="Arial" w:hAnsi="Arial" w:cs="Arial"/>
                <w:color w:val="000000"/>
              </w:rPr>
              <w:t>Signature (PI, Lab Manager, or Unit Head):</w:t>
            </w:r>
            <w:r w:rsidRPr="005227F8">
              <w:rPr>
                <w:rFonts w:ascii="Arial" w:hAnsi="Arial" w:cs="Arial"/>
                <w:color w:val="000000"/>
              </w:rPr>
              <w:tab/>
              <w:t xml:space="preserve">Date:                                     </w:t>
            </w:r>
          </w:p>
        </w:tc>
      </w:tr>
      <w:tr w:rsidR="005227F8" w:rsidRPr="005227F8" w14:paraId="4336C332" w14:textId="77777777" w:rsidTr="008C1EC7">
        <w:tc>
          <w:tcPr>
            <w:tcW w:w="10080" w:type="dxa"/>
            <w:tcBorders>
              <w:top w:val="single" w:sz="7" w:space="0" w:color="000000"/>
              <w:left w:val="single" w:sz="7" w:space="0" w:color="000000"/>
              <w:bottom w:val="single" w:sz="7" w:space="0" w:color="000000"/>
              <w:right w:val="single" w:sz="7" w:space="0" w:color="000000"/>
            </w:tcBorders>
          </w:tcPr>
          <w:p w14:paraId="5E3C1D23" w14:textId="040A2C05" w:rsidR="005227F8" w:rsidRPr="005227F8" w:rsidRDefault="005227F8" w:rsidP="001440F0">
            <w:pPr>
              <w:tabs>
                <w:tab w:val="left" w:pos="6450"/>
              </w:tabs>
              <w:spacing w:before="60"/>
              <w:jc w:val="both"/>
              <w:rPr>
                <w:rFonts w:ascii="Arial" w:hAnsi="Arial" w:cs="Arial"/>
                <w:color w:val="000000"/>
              </w:rPr>
            </w:pPr>
            <w:r w:rsidRPr="005227F8">
              <w:rPr>
                <w:rFonts w:ascii="Arial" w:hAnsi="Arial" w:cs="Arial"/>
                <w:color w:val="000000"/>
              </w:rPr>
              <w:t xml:space="preserve"> Date Sent to </w:t>
            </w:r>
            <w:r w:rsidR="001440F0">
              <w:rPr>
                <w:rFonts w:ascii="Arial" w:hAnsi="Arial" w:cs="Arial"/>
                <w:color w:val="000000"/>
              </w:rPr>
              <w:t>UW Safety</w:t>
            </w:r>
            <w:r w:rsidRPr="005227F8">
              <w:rPr>
                <w:rFonts w:ascii="Arial" w:hAnsi="Arial" w:cs="Arial"/>
                <w:color w:val="000000"/>
              </w:rPr>
              <w:t>:</w:t>
            </w:r>
            <w:r w:rsidRPr="005227F8">
              <w:rPr>
                <w:rFonts w:ascii="Arial" w:hAnsi="Arial" w:cs="Arial"/>
                <w:color w:val="000000"/>
              </w:rPr>
              <w:tab/>
              <w:t xml:space="preserve">                                      </w:t>
            </w:r>
          </w:p>
        </w:tc>
      </w:tr>
    </w:tbl>
    <w:p w14:paraId="2970F447" w14:textId="77777777" w:rsidR="005227F8" w:rsidRPr="005227F8" w:rsidRDefault="005227F8" w:rsidP="001440F0">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both"/>
        <w:rPr>
          <w:rFonts w:ascii="Arial" w:hAnsi="Arial" w:cs="Arial"/>
          <w:b/>
        </w:rPr>
      </w:pPr>
    </w:p>
    <w:p w14:paraId="6D57FE6A" w14:textId="77777777" w:rsidR="005227F8" w:rsidRPr="005227F8" w:rsidRDefault="005227F8" w:rsidP="001440F0">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both"/>
        <w:rPr>
          <w:rFonts w:ascii="Arial" w:hAnsi="Arial" w:cs="Arial"/>
          <w:b/>
        </w:rPr>
      </w:pPr>
    </w:p>
    <w:sectPr w:rsidR="005227F8" w:rsidRPr="005227F8" w:rsidSect="001440F0">
      <w:headerReference w:type="default" r:id="rId8"/>
      <w:footerReference w:type="default" r:id="rId9"/>
      <w:headerReference w:type="first" r:id="rId10"/>
      <w:footerReference w:type="first" r:id="rId11"/>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894FC" w14:textId="77777777" w:rsidR="004379CB" w:rsidRDefault="004379CB" w:rsidP="00791DCE">
      <w:pPr>
        <w:spacing w:after="0" w:line="240" w:lineRule="auto"/>
      </w:pPr>
      <w:r>
        <w:separator/>
      </w:r>
    </w:p>
  </w:endnote>
  <w:endnote w:type="continuationSeparator" w:id="0">
    <w:p w14:paraId="1B0703DE" w14:textId="77777777" w:rsidR="004379CB" w:rsidRDefault="004379CB"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53410449"/>
      <w:docPartObj>
        <w:docPartGallery w:val="Page Numbers (Bottom of Page)"/>
        <w:docPartUnique/>
      </w:docPartObj>
    </w:sdtPr>
    <w:sdtEndPr/>
    <w:sdtContent>
      <w:sdt>
        <w:sdtPr>
          <w:rPr>
            <w:sz w:val="20"/>
            <w:szCs w:val="20"/>
          </w:rPr>
          <w:id w:val="-675349248"/>
          <w:docPartObj>
            <w:docPartGallery w:val="Page Numbers (Top of Page)"/>
            <w:docPartUnique/>
          </w:docPartObj>
        </w:sdtPr>
        <w:sdtEndPr/>
        <w:sdtContent>
          <w:p w14:paraId="49729DA3" w14:textId="1522299C" w:rsidR="00D144A6" w:rsidRPr="001440F0" w:rsidRDefault="001440F0">
            <w:pPr>
              <w:pStyle w:val="Footer"/>
              <w:rPr>
                <w:rFonts w:eastAsia="Times New Roman"/>
                <w:sz w:val="20"/>
                <w:szCs w:val="20"/>
              </w:rPr>
            </w:pPr>
            <w:r w:rsidRPr="006620EE">
              <w:rPr>
                <w:sz w:val="20"/>
                <w:szCs w:val="20"/>
              </w:rPr>
              <w:t>Reviewed &amp; Revised</w:t>
            </w:r>
            <w:r>
              <w:rPr>
                <w:sz w:val="20"/>
                <w:szCs w:val="20"/>
              </w:rPr>
              <w:t xml:space="preserve"> </w:t>
            </w:r>
            <w:r w:rsidR="000A443E">
              <w:rPr>
                <w:sz w:val="20"/>
                <w:szCs w:val="20"/>
              </w:rPr>
              <w:t>10</w:t>
            </w:r>
            <w:r>
              <w:rPr>
                <w:sz w:val="20"/>
                <w:szCs w:val="20"/>
              </w:rPr>
              <w:t>-20</w:t>
            </w:r>
            <w:r w:rsidR="000A443E">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4281429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BD8F0B0" w14:textId="3FD5D340" w:rsidR="00D144A6" w:rsidRPr="001440F0" w:rsidRDefault="001440F0">
            <w:pPr>
              <w:pStyle w:val="Footer"/>
              <w:rPr>
                <w:rFonts w:eastAsia="Times New Roman"/>
                <w:sz w:val="20"/>
                <w:szCs w:val="20"/>
              </w:rPr>
            </w:pPr>
            <w:r w:rsidRPr="006620EE">
              <w:rPr>
                <w:sz w:val="20"/>
                <w:szCs w:val="20"/>
              </w:rPr>
              <w:t>Reviewed &amp; Revised</w:t>
            </w:r>
            <w:r>
              <w:rPr>
                <w:sz w:val="20"/>
                <w:szCs w:val="20"/>
              </w:rPr>
              <w:t xml:space="preserve"> </w:t>
            </w:r>
            <w:r w:rsidR="000A443E">
              <w:rPr>
                <w:sz w:val="20"/>
                <w:szCs w:val="20"/>
              </w:rPr>
              <w:t>10</w:t>
            </w:r>
            <w:r>
              <w:rPr>
                <w:sz w:val="20"/>
                <w:szCs w:val="20"/>
              </w:rPr>
              <w:t>-20</w:t>
            </w:r>
            <w:r w:rsidR="000A443E">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0CA2A" w14:textId="77777777" w:rsidR="004379CB" w:rsidRDefault="004379CB" w:rsidP="00791DCE">
      <w:pPr>
        <w:spacing w:after="0" w:line="240" w:lineRule="auto"/>
      </w:pPr>
      <w:r>
        <w:separator/>
      </w:r>
    </w:p>
  </w:footnote>
  <w:footnote w:type="continuationSeparator" w:id="0">
    <w:p w14:paraId="3A56A723" w14:textId="77777777" w:rsidR="004379CB" w:rsidRDefault="004379CB"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8969" w14:textId="6D94B17F" w:rsidR="00D144A6" w:rsidRPr="00880E15" w:rsidRDefault="00F606C1" w:rsidP="00791DCE">
    <w:pPr>
      <w:pStyle w:val="Header"/>
      <w:rPr>
        <w:rFonts w:ascii="Arial" w:hAnsi="Arial" w:cs="Arial"/>
        <w:sz w:val="24"/>
        <w:szCs w:val="24"/>
      </w:rPr>
    </w:pPr>
    <w:r>
      <w:rPr>
        <w:noProof/>
        <w:sz w:val="48"/>
        <w:szCs w:val="48"/>
      </w:rPr>
      <w:drawing>
        <wp:anchor distT="0" distB="0" distL="114300" distR="114300" simplePos="0" relativeHeight="251680768" behindDoc="0" locked="0" layoutInCell="1" allowOverlap="0" wp14:anchorId="41B7C15E" wp14:editId="4E93D5DE">
          <wp:simplePos x="0" y="0"/>
          <wp:positionH relativeFrom="column">
            <wp:posOffset>4162425</wp:posOffset>
          </wp:positionH>
          <wp:positionV relativeFrom="page">
            <wp:posOffset>219075</wp:posOffset>
          </wp:positionV>
          <wp:extent cx="2423160" cy="7588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2BA35344"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54F0" w14:textId="364DAEDC" w:rsidR="00D144A6" w:rsidRPr="00880E15" w:rsidRDefault="000A443E" w:rsidP="00593809">
    <w:pPr>
      <w:pStyle w:val="Header"/>
      <w:rPr>
        <w:rFonts w:ascii="Arial" w:hAnsi="Arial" w:cs="Arial"/>
        <w:sz w:val="24"/>
        <w:szCs w:val="24"/>
      </w:rPr>
    </w:pPr>
    <w:r>
      <w:rPr>
        <w:noProof/>
        <w:sz w:val="48"/>
        <w:szCs w:val="48"/>
      </w:rPr>
      <w:drawing>
        <wp:anchor distT="0" distB="0" distL="114300" distR="114300" simplePos="0" relativeHeight="251676672" behindDoc="0" locked="0" layoutInCell="1" allowOverlap="0" wp14:anchorId="1F24C97D" wp14:editId="69BFE0AF">
          <wp:simplePos x="0" y="0"/>
          <wp:positionH relativeFrom="column">
            <wp:posOffset>4191000</wp:posOffset>
          </wp:positionH>
          <wp:positionV relativeFrom="page">
            <wp:posOffset>219075</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220">
      <w:rPr>
        <w:rFonts w:ascii="Arial" w:hAnsi="Arial" w:cs="Arial"/>
        <w:sz w:val="24"/>
        <w:szCs w:val="24"/>
      </w:rPr>
      <w:t>Chemical Process</w:t>
    </w:r>
    <w:r w:rsidR="008D40EF">
      <w:rPr>
        <w:rFonts w:ascii="Arial" w:hAnsi="Arial" w:cs="Arial"/>
        <w:sz w:val="24"/>
        <w:szCs w:val="24"/>
      </w:rPr>
      <w:t xml:space="preserve"> S</w:t>
    </w:r>
    <w:r w:rsidR="0037519D">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38465AF2" w14:textId="77777777"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DFC022B"/>
    <w:multiLevelType w:val="hybridMultilevel"/>
    <w:tmpl w:val="A32A1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0"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353985"/>
    <w:multiLevelType w:val="hybridMultilevel"/>
    <w:tmpl w:val="DD92E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0D6D9E"/>
    <w:multiLevelType w:val="hybridMultilevel"/>
    <w:tmpl w:val="28C46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594E25"/>
    <w:multiLevelType w:val="hybridMultilevel"/>
    <w:tmpl w:val="6F7C6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670C2C"/>
    <w:multiLevelType w:val="hybridMultilevel"/>
    <w:tmpl w:val="27262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C25C62"/>
    <w:multiLevelType w:val="hybridMultilevel"/>
    <w:tmpl w:val="EE8E5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9D4C77"/>
    <w:multiLevelType w:val="hybridMultilevel"/>
    <w:tmpl w:val="4F445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35"/>
  </w:num>
  <w:num w:numId="4">
    <w:abstractNumId w:val="39"/>
  </w:num>
  <w:num w:numId="5">
    <w:abstractNumId w:val="8"/>
  </w:num>
  <w:num w:numId="6">
    <w:abstractNumId w:val="4"/>
  </w:num>
  <w:num w:numId="7">
    <w:abstractNumId w:val="31"/>
  </w:num>
  <w:num w:numId="8">
    <w:abstractNumId w:val="9"/>
  </w:num>
  <w:num w:numId="9">
    <w:abstractNumId w:val="22"/>
  </w:num>
  <w:num w:numId="10">
    <w:abstractNumId w:val="29"/>
  </w:num>
  <w:num w:numId="11">
    <w:abstractNumId w:val="5"/>
  </w:num>
  <w:num w:numId="12">
    <w:abstractNumId w:val="3"/>
  </w:num>
  <w:num w:numId="13">
    <w:abstractNumId w:val="6"/>
  </w:num>
  <w:num w:numId="14">
    <w:abstractNumId w:val="19"/>
  </w:num>
  <w:num w:numId="15">
    <w:abstractNumId w:val="13"/>
  </w:num>
  <w:num w:numId="16">
    <w:abstractNumId w:val="15"/>
  </w:num>
  <w:num w:numId="17">
    <w:abstractNumId w:val="30"/>
  </w:num>
  <w:num w:numId="18">
    <w:abstractNumId w:val="11"/>
  </w:num>
  <w:num w:numId="19">
    <w:abstractNumId w:val="23"/>
  </w:num>
  <w:num w:numId="20">
    <w:abstractNumId w:val="18"/>
  </w:num>
  <w:num w:numId="21">
    <w:abstractNumId w:val="40"/>
  </w:num>
  <w:num w:numId="22">
    <w:abstractNumId w:val="24"/>
  </w:num>
  <w:num w:numId="23">
    <w:abstractNumId w:val="32"/>
  </w:num>
  <w:num w:numId="24">
    <w:abstractNumId w:val="38"/>
  </w:num>
  <w:num w:numId="25">
    <w:abstractNumId w:val="25"/>
  </w:num>
  <w:num w:numId="26">
    <w:abstractNumId w:val="10"/>
  </w:num>
  <w:num w:numId="27">
    <w:abstractNumId w:val="12"/>
  </w:num>
  <w:num w:numId="28">
    <w:abstractNumId w:val="17"/>
  </w:num>
  <w:num w:numId="29">
    <w:abstractNumId w:val="2"/>
  </w:num>
  <w:num w:numId="30">
    <w:abstractNumId w:val="16"/>
  </w:num>
  <w:num w:numId="31">
    <w:abstractNumId w:val="36"/>
  </w:num>
  <w:num w:numId="32">
    <w:abstractNumId w:val="0"/>
  </w:num>
  <w:num w:numId="33">
    <w:abstractNumId w:val="20"/>
  </w:num>
  <w:num w:numId="34">
    <w:abstractNumId w:val="7"/>
  </w:num>
  <w:num w:numId="35">
    <w:abstractNumId w:val="33"/>
  </w:num>
  <w:num w:numId="36">
    <w:abstractNumId w:val="28"/>
  </w:num>
  <w:num w:numId="37">
    <w:abstractNumId w:val="14"/>
  </w:num>
  <w:num w:numId="38">
    <w:abstractNumId w:val="37"/>
  </w:num>
  <w:num w:numId="39">
    <w:abstractNumId w:val="26"/>
  </w:num>
  <w:num w:numId="40">
    <w:abstractNumId w:val="2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33D"/>
    <w:rsid w:val="00002BFA"/>
    <w:rsid w:val="00025526"/>
    <w:rsid w:val="00041128"/>
    <w:rsid w:val="00050529"/>
    <w:rsid w:val="000519D9"/>
    <w:rsid w:val="00052753"/>
    <w:rsid w:val="00064CE1"/>
    <w:rsid w:val="0009183B"/>
    <w:rsid w:val="00094DF5"/>
    <w:rsid w:val="000A443E"/>
    <w:rsid w:val="000C16A6"/>
    <w:rsid w:val="000C5690"/>
    <w:rsid w:val="00112DED"/>
    <w:rsid w:val="001440F0"/>
    <w:rsid w:val="00146FDE"/>
    <w:rsid w:val="00160092"/>
    <w:rsid w:val="001749F2"/>
    <w:rsid w:val="001C0A18"/>
    <w:rsid w:val="001C6D5E"/>
    <w:rsid w:val="001E251E"/>
    <w:rsid w:val="001E5368"/>
    <w:rsid w:val="001E63CC"/>
    <w:rsid w:val="001F009C"/>
    <w:rsid w:val="001F5924"/>
    <w:rsid w:val="00207C03"/>
    <w:rsid w:val="002161B3"/>
    <w:rsid w:val="002233AE"/>
    <w:rsid w:val="00225A6A"/>
    <w:rsid w:val="00226B54"/>
    <w:rsid w:val="00264B99"/>
    <w:rsid w:val="002B5567"/>
    <w:rsid w:val="002B7CDD"/>
    <w:rsid w:val="002C03DA"/>
    <w:rsid w:val="002C7A79"/>
    <w:rsid w:val="002E13BD"/>
    <w:rsid w:val="002E35E8"/>
    <w:rsid w:val="002F7053"/>
    <w:rsid w:val="00301861"/>
    <w:rsid w:val="00305641"/>
    <w:rsid w:val="00332EB2"/>
    <w:rsid w:val="00343304"/>
    <w:rsid w:val="00344F43"/>
    <w:rsid w:val="0037519D"/>
    <w:rsid w:val="00392D36"/>
    <w:rsid w:val="0039721A"/>
    <w:rsid w:val="003B73DB"/>
    <w:rsid w:val="003C0C99"/>
    <w:rsid w:val="003C2195"/>
    <w:rsid w:val="003D3C49"/>
    <w:rsid w:val="003D7018"/>
    <w:rsid w:val="003F063D"/>
    <w:rsid w:val="0040497F"/>
    <w:rsid w:val="00424118"/>
    <w:rsid w:val="004379CB"/>
    <w:rsid w:val="0046178C"/>
    <w:rsid w:val="004B0494"/>
    <w:rsid w:val="004F0832"/>
    <w:rsid w:val="00505187"/>
    <w:rsid w:val="005227F8"/>
    <w:rsid w:val="00526AFD"/>
    <w:rsid w:val="00530CBB"/>
    <w:rsid w:val="0056357D"/>
    <w:rsid w:val="00570987"/>
    <w:rsid w:val="00585DFF"/>
    <w:rsid w:val="00592047"/>
    <w:rsid w:val="00593809"/>
    <w:rsid w:val="005956E6"/>
    <w:rsid w:val="005B4EF7"/>
    <w:rsid w:val="005C19F5"/>
    <w:rsid w:val="005D76CB"/>
    <w:rsid w:val="00600680"/>
    <w:rsid w:val="00603670"/>
    <w:rsid w:val="00615833"/>
    <w:rsid w:val="006249ED"/>
    <w:rsid w:val="00655065"/>
    <w:rsid w:val="006602B4"/>
    <w:rsid w:val="00695737"/>
    <w:rsid w:val="006B17B8"/>
    <w:rsid w:val="006C3056"/>
    <w:rsid w:val="006C3E78"/>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3510"/>
    <w:rsid w:val="00825750"/>
    <w:rsid w:val="00840EE6"/>
    <w:rsid w:val="00861B14"/>
    <w:rsid w:val="00881BA6"/>
    <w:rsid w:val="008822CB"/>
    <w:rsid w:val="00886E41"/>
    <w:rsid w:val="00894557"/>
    <w:rsid w:val="008D40EF"/>
    <w:rsid w:val="008E0909"/>
    <w:rsid w:val="008F51E9"/>
    <w:rsid w:val="00904284"/>
    <w:rsid w:val="0090627E"/>
    <w:rsid w:val="00914AA3"/>
    <w:rsid w:val="009426B6"/>
    <w:rsid w:val="009757CE"/>
    <w:rsid w:val="00977F4C"/>
    <w:rsid w:val="009865EE"/>
    <w:rsid w:val="009B3C83"/>
    <w:rsid w:val="00A04E84"/>
    <w:rsid w:val="00A06103"/>
    <w:rsid w:val="00A1131D"/>
    <w:rsid w:val="00A13AA6"/>
    <w:rsid w:val="00A24DD4"/>
    <w:rsid w:val="00A50EFF"/>
    <w:rsid w:val="00A67530"/>
    <w:rsid w:val="00A7436D"/>
    <w:rsid w:val="00A90751"/>
    <w:rsid w:val="00A93C5C"/>
    <w:rsid w:val="00A94281"/>
    <w:rsid w:val="00B0390F"/>
    <w:rsid w:val="00B2371C"/>
    <w:rsid w:val="00B27D25"/>
    <w:rsid w:val="00B61B5C"/>
    <w:rsid w:val="00B724A9"/>
    <w:rsid w:val="00B94DC7"/>
    <w:rsid w:val="00BA1F99"/>
    <w:rsid w:val="00BB1BB9"/>
    <w:rsid w:val="00BB2FEF"/>
    <w:rsid w:val="00BC1306"/>
    <w:rsid w:val="00BC3C68"/>
    <w:rsid w:val="00BE57CC"/>
    <w:rsid w:val="00BF6CC5"/>
    <w:rsid w:val="00BF6E01"/>
    <w:rsid w:val="00C65B52"/>
    <w:rsid w:val="00C65D2D"/>
    <w:rsid w:val="00C66220"/>
    <w:rsid w:val="00C824B3"/>
    <w:rsid w:val="00CA40B8"/>
    <w:rsid w:val="00CB1DF3"/>
    <w:rsid w:val="00CC2D4E"/>
    <w:rsid w:val="00CC5292"/>
    <w:rsid w:val="00CC7A50"/>
    <w:rsid w:val="00CD4B41"/>
    <w:rsid w:val="00CD4F14"/>
    <w:rsid w:val="00CE7EE0"/>
    <w:rsid w:val="00D130BD"/>
    <w:rsid w:val="00D144A6"/>
    <w:rsid w:val="00D20671"/>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4092E"/>
    <w:rsid w:val="00F606C1"/>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8F5BD0"/>
  <w15:docId w15:val="{179A6502-7B99-4564-AF43-CE40AAD0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paragraph" w:styleId="BodyTextIndent">
    <w:name w:val="Body Text Indent"/>
    <w:basedOn w:val="Normal"/>
    <w:link w:val="BodyTextIndentChar"/>
    <w:rsid w:val="006C3E78"/>
    <w:pPr>
      <w:spacing w:after="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6C3E7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AF8E5-3A23-41E3-949E-26641803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7</cp:revision>
  <cp:lastPrinted>2012-01-11T17:54:00Z</cp:lastPrinted>
  <dcterms:created xsi:type="dcterms:W3CDTF">2012-02-14T16:24:00Z</dcterms:created>
  <dcterms:modified xsi:type="dcterms:W3CDTF">2022-10-24T17:17:00Z</dcterms:modified>
</cp:coreProperties>
</file>