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BD86" w14:textId="77777777" w:rsidR="000C4663" w:rsidRDefault="006C3E78" w:rsidP="000C4663">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r>
        <w:rPr>
          <w:rFonts w:ascii="Arial" w:hAnsi="Arial" w:cs="Arial"/>
          <w:b/>
          <w:sz w:val="24"/>
          <w:szCs w:val="24"/>
        </w:rPr>
        <w:t>Lipopolysaccharides Use</w:t>
      </w:r>
    </w:p>
    <w:p w14:paraId="6BD275F3" w14:textId="77777777" w:rsidR="000C4663" w:rsidRDefault="006C3E78" w:rsidP="000C4663">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r>
        <w:rPr>
          <w:rFonts w:ascii="Arial" w:hAnsi="Arial" w:cs="Arial"/>
          <w:b/>
          <w:sz w:val="24"/>
          <w:szCs w:val="24"/>
        </w:rPr>
        <w:t xml:space="preserve"> </w:t>
      </w:r>
    </w:p>
    <w:tbl>
      <w:tblPr>
        <w:tblpPr w:leftFromText="180" w:rightFromText="180" w:vertAnchor="page" w:horzAnchor="margin" w:tblpX="-150" w:tblpY="2236"/>
        <w:tblW w:w="10110" w:type="dxa"/>
        <w:tblLayout w:type="fixed"/>
        <w:tblCellMar>
          <w:left w:w="120" w:type="dxa"/>
          <w:right w:w="120" w:type="dxa"/>
        </w:tblCellMar>
        <w:tblLook w:val="04A0" w:firstRow="1" w:lastRow="0" w:firstColumn="1" w:lastColumn="0" w:noHBand="0" w:noVBand="1"/>
      </w:tblPr>
      <w:tblGrid>
        <w:gridCol w:w="10110"/>
      </w:tblGrid>
      <w:tr w:rsidR="000C4663" w14:paraId="220C666F" w14:textId="77777777" w:rsidTr="000C4663">
        <w:trPr>
          <w:trHeight w:val="765"/>
        </w:trPr>
        <w:tc>
          <w:tcPr>
            <w:tcW w:w="10110" w:type="dxa"/>
            <w:tcBorders>
              <w:top w:val="single" w:sz="18" w:space="0" w:color="000000"/>
              <w:left w:val="single" w:sz="18" w:space="0" w:color="000000"/>
              <w:bottom w:val="single" w:sz="18" w:space="0" w:color="000000"/>
              <w:right w:val="single" w:sz="18" w:space="0" w:color="000000"/>
            </w:tcBorders>
            <w:shd w:val="pct30" w:color="000000" w:fill="FFFFFF"/>
            <w:vAlign w:val="bottom"/>
            <w:hideMark/>
          </w:tcPr>
          <w:p w14:paraId="0403D4EE" w14:textId="77777777" w:rsidR="000C4663" w:rsidRDefault="000C4663" w:rsidP="000C4663">
            <w:pPr>
              <w:jc w:val="center"/>
              <w:rPr>
                <w:rFonts w:ascii="Arial" w:hAnsi="Arial" w:cs="Arial"/>
                <w:sz w:val="18"/>
                <w:szCs w:val="18"/>
              </w:rPr>
            </w:pPr>
            <w:r>
              <w:rPr>
                <w:rFonts w:ascii="Arial" w:hAnsi="Arial" w:cs="Arial"/>
                <w:sz w:val="18"/>
                <w:szCs w:val="18"/>
              </w:rPr>
              <w:t>Standard Operating Procedures for Chemicals or Processes</w:t>
            </w:r>
          </w:p>
        </w:tc>
      </w:tr>
    </w:tbl>
    <w:tbl>
      <w:tblPr>
        <w:tblW w:w="10080" w:type="dxa"/>
        <w:tblInd w:w="-150" w:type="dxa"/>
        <w:tblLayout w:type="fixed"/>
        <w:tblCellMar>
          <w:left w:w="120" w:type="dxa"/>
          <w:right w:w="120" w:type="dxa"/>
        </w:tblCellMar>
        <w:tblLook w:val="0000" w:firstRow="0" w:lastRow="0" w:firstColumn="0" w:lastColumn="0" w:noHBand="0" w:noVBand="0"/>
      </w:tblPr>
      <w:tblGrid>
        <w:gridCol w:w="3870"/>
        <w:gridCol w:w="6210"/>
      </w:tblGrid>
      <w:tr w:rsidR="006C3E78" w:rsidRPr="00CA342E" w14:paraId="2B8A4DC7" w14:textId="77777777" w:rsidTr="006C3E78">
        <w:tc>
          <w:tcPr>
            <w:tcW w:w="3870" w:type="dxa"/>
            <w:tcBorders>
              <w:top w:val="single" w:sz="7" w:space="0" w:color="000000"/>
              <w:left w:val="single" w:sz="7" w:space="0" w:color="000000"/>
              <w:bottom w:val="single" w:sz="7" w:space="0" w:color="000000"/>
              <w:right w:val="single" w:sz="4" w:space="0" w:color="auto"/>
            </w:tcBorders>
          </w:tcPr>
          <w:p w14:paraId="50C27E19" w14:textId="77777777" w:rsidR="006C3E78" w:rsidRPr="00B33D55"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B33D55">
              <w:rPr>
                <w:rFonts w:ascii="Arial" w:hAnsi="Arial" w:cs="Arial"/>
                <w:sz w:val="20"/>
                <w:szCs w:val="20"/>
              </w:rPr>
              <w:t>1. Health hazards</w:t>
            </w:r>
          </w:p>
          <w:p w14:paraId="506C73C0" w14:textId="77777777" w:rsidR="006C3E78" w:rsidRPr="00B33D55"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6210" w:type="dxa"/>
            <w:tcBorders>
              <w:top w:val="single" w:sz="4" w:space="0" w:color="auto"/>
              <w:left w:val="single" w:sz="4" w:space="0" w:color="auto"/>
              <w:bottom w:val="single" w:sz="8" w:space="0" w:color="000000"/>
              <w:right w:val="single" w:sz="4" w:space="0" w:color="auto"/>
            </w:tcBorders>
          </w:tcPr>
          <w:p w14:paraId="6BA17174" w14:textId="77777777" w:rsidR="006C3E78" w:rsidRPr="00B33D55" w:rsidRDefault="006C3E78" w:rsidP="009610C5">
            <w:pPr>
              <w:jc w:val="both"/>
              <w:rPr>
                <w:rFonts w:ascii="Arial" w:hAnsi="Arial" w:cs="Arial"/>
                <w:sz w:val="20"/>
                <w:szCs w:val="20"/>
              </w:rPr>
            </w:pPr>
            <w:r w:rsidRPr="00B33D55">
              <w:rPr>
                <w:rFonts w:ascii="Arial" w:hAnsi="Arial" w:cs="Arial"/>
                <w:bCs/>
                <w:sz w:val="20"/>
                <w:szCs w:val="20"/>
              </w:rPr>
              <w:t>Lipopolysaccharide</w:t>
            </w:r>
            <w:r w:rsidRPr="00B33D55">
              <w:rPr>
                <w:rFonts w:ascii="Arial" w:hAnsi="Arial" w:cs="Arial"/>
                <w:sz w:val="20"/>
                <w:szCs w:val="20"/>
              </w:rPr>
              <w:t xml:space="preserve"> (</w:t>
            </w:r>
            <w:r w:rsidRPr="00B33D55">
              <w:rPr>
                <w:rFonts w:ascii="Arial" w:hAnsi="Arial" w:cs="Arial"/>
                <w:bCs/>
                <w:sz w:val="20"/>
                <w:szCs w:val="20"/>
              </w:rPr>
              <w:t>LPS</w:t>
            </w:r>
            <w:r w:rsidRPr="00B33D55">
              <w:rPr>
                <w:rFonts w:ascii="Arial" w:hAnsi="Arial" w:cs="Arial"/>
                <w:sz w:val="20"/>
                <w:szCs w:val="20"/>
              </w:rPr>
              <w:t>) is a structural component of the cell wall of bacteria. It is an endotoxin that induces a strong immune response. It is considered a pyrogen and inhalation may result in airway inflammation. LPS has also been associated with the development and progression of asthma and other forms of airway disease. The Registry of Toxic Effects of Chemical Substances (RTECS) indicates that some types of LPS are considered reproductive effectors, teratogens, and mutagens.</w:t>
            </w:r>
          </w:p>
        </w:tc>
      </w:tr>
      <w:tr w:rsidR="006C3E78" w:rsidRPr="00CA342E" w14:paraId="1FFEC82E" w14:textId="77777777" w:rsidTr="006C3E78">
        <w:trPr>
          <w:trHeight w:val="556"/>
        </w:trPr>
        <w:tc>
          <w:tcPr>
            <w:tcW w:w="3870" w:type="dxa"/>
            <w:tcBorders>
              <w:left w:val="single" w:sz="7" w:space="0" w:color="000000"/>
              <w:bottom w:val="single" w:sz="7" w:space="0" w:color="000000"/>
              <w:right w:val="single" w:sz="4" w:space="0" w:color="auto"/>
            </w:tcBorders>
          </w:tcPr>
          <w:p w14:paraId="73D68EA7"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2. Training/Approval</w:t>
            </w:r>
          </w:p>
          <w:p w14:paraId="092B81D3"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tc>
        <w:tc>
          <w:tcPr>
            <w:tcW w:w="6210" w:type="dxa"/>
            <w:tcBorders>
              <w:top w:val="single" w:sz="8" w:space="0" w:color="000000"/>
              <w:left w:val="single" w:sz="4" w:space="0" w:color="auto"/>
              <w:bottom w:val="single" w:sz="8" w:space="0" w:color="000000"/>
              <w:right w:val="single" w:sz="4" w:space="0" w:color="auto"/>
            </w:tcBorders>
          </w:tcPr>
          <w:p w14:paraId="65203785" w14:textId="77777777" w:rsidR="006C3E78" w:rsidRPr="00CA342E" w:rsidRDefault="006C3E78" w:rsidP="009610C5">
            <w:pPr>
              <w:tabs>
                <w:tab w:val="left" w:pos="432"/>
                <w:tab w:val="left" w:pos="720"/>
              </w:tabs>
              <w:spacing w:after="58"/>
              <w:jc w:val="both"/>
              <w:rPr>
                <w:rFonts w:ascii="Arial" w:hAnsi="Arial" w:cs="Arial"/>
                <w:color w:val="000000"/>
                <w:sz w:val="20"/>
                <w:szCs w:val="20"/>
              </w:rPr>
            </w:pPr>
            <w:r w:rsidRPr="00CA342E">
              <w:rPr>
                <w:rFonts w:ascii="Arial" w:hAnsi="Arial" w:cs="Arial"/>
                <w:color w:val="000000"/>
                <w:sz w:val="20"/>
                <w:szCs w:val="20"/>
              </w:rPr>
              <w:t>Hazardous chemical trainin</w:t>
            </w:r>
            <w:bookmarkStart w:id="0" w:name="_GoBack"/>
            <w:bookmarkEnd w:id="0"/>
            <w:r w:rsidRPr="00CA342E">
              <w:rPr>
                <w:rFonts w:ascii="Arial" w:hAnsi="Arial" w:cs="Arial"/>
                <w:color w:val="000000"/>
                <w:sz w:val="20"/>
                <w:szCs w:val="20"/>
              </w:rPr>
              <w:t xml:space="preserve">g and training on </w:t>
            </w:r>
            <w:r>
              <w:rPr>
                <w:rFonts w:ascii="Arial" w:hAnsi="Arial" w:cs="Arial"/>
                <w:color w:val="000000"/>
                <w:sz w:val="20"/>
                <w:szCs w:val="20"/>
              </w:rPr>
              <w:t>SP</w:t>
            </w:r>
            <w:r w:rsidRPr="00CA342E">
              <w:rPr>
                <w:rFonts w:ascii="Arial" w:hAnsi="Arial" w:cs="Arial"/>
                <w:color w:val="000000"/>
                <w:sz w:val="20"/>
                <w:szCs w:val="20"/>
              </w:rPr>
              <w:t xml:space="preserve"> is required before working with LPS. This should include but is not limited to reviewing the MSDS, training on the physical hazards of the chemicals, symptoms of exposure, appropriate work practices, and use of PPE. </w:t>
            </w:r>
          </w:p>
        </w:tc>
      </w:tr>
      <w:tr w:rsidR="006C3E78" w:rsidRPr="00CA342E" w14:paraId="34EF1814" w14:textId="77777777" w:rsidTr="006C3E78">
        <w:tc>
          <w:tcPr>
            <w:tcW w:w="3870" w:type="dxa"/>
            <w:tcBorders>
              <w:top w:val="single" w:sz="7" w:space="0" w:color="000000"/>
              <w:left w:val="single" w:sz="7" w:space="0" w:color="000000"/>
              <w:bottom w:val="single" w:sz="7" w:space="0" w:color="000000"/>
              <w:right w:val="single" w:sz="7" w:space="0" w:color="000000"/>
            </w:tcBorders>
          </w:tcPr>
          <w:p w14:paraId="0C523E8B"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3</w:t>
            </w:r>
            <w:r w:rsidRPr="00CA342E">
              <w:rPr>
                <w:rFonts w:ascii="Arial" w:hAnsi="Arial" w:cs="Arial"/>
                <w:sz w:val="20"/>
                <w:szCs w:val="20"/>
              </w:rPr>
              <w:t>. Environmental /</w:t>
            </w:r>
          </w:p>
          <w:p w14:paraId="4A3605F4"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Ventilation Controls</w:t>
            </w:r>
          </w:p>
        </w:tc>
        <w:tc>
          <w:tcPr>
            <w:tcW w:w="6210" w:type="dxa"/>
            <w:tcBorders>
              <w:top w:val="single" w:sz="4" w:space="0" w:color="auto"/>
              <w:left w:val="single" w:sz="7" w:space="0" w:color="000000"/>
              <w:bottom w:val="single" w:sz="7" w:space="0" w:color="000000"/>
              <w:right w:val="single" w:sz="7" w:space="0" w:color="000000"/>
            </w:tcBorders>
          </w:tcPr>
          <w:p w14:paraId="158F48F8" w14:textId="77777777" w:rsidR="006C3E78" w:rsidRPr="00CA342E" w:rsidRDefault="006C3E78" w:rsidP="009610C5">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The preparation including reconstitution, weighing, and diluting should be performed in a fume hood. The administration should be done in a chemical fume hood or biological safety cabinet. Work should be done over absorbent pads.</w:t>
            </w:r>
          </w:p>
        </w:tc>
      </w:tr>
      <w:tr w:rsidR="006C3E78" w:rsidRPr="00CA342E" w14:paraId="3929C989" w14:textId="77777777" w:rsidTr="006C3E78">
        <w:trPr>
          <w:trHeight w:val="793"/>
        </w:trPr>
        <w:tc>
          <w:tcPr>
            <w:tcW w:w="3870" w:type="dxa"/>
            <w:tcBorders>
              <w:top w:val="single" w:sz="7" w:space="0" w:color="000000"/>
              <w:left w:val="single" w:sz="7" w:space="0" w:color="000000"/>
              <w:bottom w:val="single" w:sz="7" w:space="0" w:color="000000"/>
              <w:right w:val="single" w:sz="4" w:space="0" w:color="auto"/>
            </w:tcBorders>
          </w:tcPr>
          <w:p w14:paraId="537B83C4" w14:textId="04678E46"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4</w:t>
            </w:r>
            <w:r w:rsidRPr="00CA342E">
              <w:rPr>
                <w:rFonts w:ascii="Arial" w:hAnsi="Arial" w:cs="Arial"/>
                <w:sz w:val="20"/>
                <w:szCs w:val="20"/>
              </w:rPr>
              <w:t>. Personal Protective Equipment (PPE)</w:t>
            </w:r>
          </w:p>
        </w:tc>
        <w:tc>
          <w:tcPr>
            <w:tcW w:w="6210" w:type="dxa"/>
            <w:tcBorders>
              <w:top w:val="single" w:sz="8" w:space="0" w:color="000000"/>
              <w:left w:val="single" w:sz="4" w:space="0" w:color="auto"/>
              <w:bottom w:val="single" w:sz="4" w:space="0" w:color="auto"/>
              <w:right w:val="single" w:sz="4" w:space="0" w:color="auto"/>
            </w:tcBorders>
          </w:tcPr>
          <w:p w14:paraId="447AE180" w14:textId="77777777" w:rsidR="006C3E78" w:rsidRPr="00CA342E" w:rsidRDefault="006C3E78" w:rsidP="009610C5">
            <w:pPr>
              <w:pStyle w:val="Header"/>
              <w:tabs>
                <w:tab w:val="left" w:pos="360"/>
                <w:tab w:val="left" w:pos="576"/>
              </w:tabs>
              <w:spacing w:after="58"/>
              <w:jc w:val="both"/>
              <w:rPr>
                <w:rFonts w:ascii="Arial" w:hAnsi="Arial" w:cs="Arial"/>
                <w:sz w:val="20"/>
                <w:szCs w:val="20"/>
              </w:rPr>
            </w:pPr>
            <w:r w:rsidRPr="00CA342E">
              <w:rPr>
                <w:rFonts w:ascii="Arial" w:hAnsi="Arial" w:cs="Arial"/>
                <w:sz w:val="20"/>
                <w:szCs w:val="20"/>
              </w:rPr>
              <w:t xml:space="preserve">Double nitrile gloves, chemical safety goggles, lab coat. Appropriate PPE should also be used for lower arms such as sleeve covers or securing gloves over the sleeves of laboratory coat. </w:t>
            </w:r>
            <w:r w:rsidRPr="00CA342E">
              <w:rPr>
                <w:rFonts w:ascii="Arial" w:hAnsi="Arial" w:cs="Arial"/>
                <w:i/>
                <w:sz w:val="20"/>
                <w:szCs w:val="20"/>
              </w:rPr>
              <w:t>Personnel may not work with LPS if skin is cut or scratched.</w:t>
            </w:r>
          </w:p>
        </w:tc>
      </w:tr>
      <w:tr w:rsidR="006C3E78" w:rsidRPr="00CA342E" w14:paraId="0B638864" w14:textId="77777777" w:rsidTr="006C3E78">
        <w:tc>
          <w:tcPr>
            <w:tcW w:w="3870" w:type="dxa"/>
            <w:tcBorders>
              <w:top w:val="single" w:sz="7" w:space="0" w:color="000000"/>
              <w:left w:val="single" w:sz="7" w:space="0" w:color="000000"/>
              <w:bottom w:val="single" w:sz="7" w:space="0" w:color="000000"/>
              <w:right w:val="single" w:sz="7" w:space="0" w:color="000000"/>
            </w:tcBorders>
          </w:tcPr>
          <w:p w14:paraId="1325650A"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5. Special Handling Procedures &amp; Storage Requirements</w:t>
            </w:r>
          </w:p>
        </w:tc>
        <w:tc>
          <w:tcPr>
            <w:tcW w:w="6210" w:type="dxa"/>
            <w:tcBorders>
              <w:top w:val="single" w:sz="7" w:space="0" w:color="000000"/>
              <w:left w:val="single" w:sz="7" w:space="0" w:color="000000"/>
              <w:bottom w:val="single" w:sz="4" w:space="0" w:color="auto"/>
              <w:right w:val="single" w:sz="7" w:space="0" w:color="000000"/>
            </w:tcBorders>
          </w:tcPr>
          <w:p w14:paraId="1CA1E310" w14:textId="77777777" w:rsidR="006C3E78" w:rsidRPr="00CA342E" w:rsidRDefault="006C3E78" w:rsidP="009610C5">
            <w:pPr>
              <w:jc w:val="both"/>
              <w:rPr>
                <w:rFonts w:ascii="Arial" w:hAnsi="Arial" w:cs="Arial"/>
                <w:sz w:val="20"/>
                <w:szCs w:val="20"/>
              </w:rPr>
            </w:pPr>
            <w:r w:rsidRPr="00CA342E">
              <w:rPr>
                <w:rFonts w:ascii="Arial" w:hAnsi="Arial" w:cs="Arial"/>
                <w:sz w:val="20"/>
                <w:szCs w:val="20"/>
                <w:u w:val="single"/>
              </w:rPr>
              <w:t>Handling</w:t>
            </w:r>
            <w:r w:rsidRPr="00CA342E">
              <w:rPr>
                <w:rFonts w:ascii="Arial" w:hAnsi="Arial" w:cs="Arial"/>
                <w:sz w:val="20"/>
                <w:szCs w:val="20"/>
              </w:rPr>
              <w:t xml:space="preserve">: LPS should be handled in containment.  Utilize safe sharps procedures (i.e. sharps container in the immediate vicinity, </w:t>
            </w:r>
            <w:proofErr w:type="spellStart"/>
            <w:r w:rsidRPr="00CA342E">
              <w:rPr>
                <w:rFonts w:ascii="Arial" w:hAnsi="Arial" w:cs="Arial"/>
                <w:sz w:val="20"/>
                <w:szCs w:val="20"/>
              </w:rPr>
              <w:t>Leurlock</w:t>
            </w:r>
            <w:proofErr w:type="spellEnd"/>
            <w:r w:rsidRPr="00CA342E">
              <w:rPr>
                <w:rFonts w:ascii="Arial" w:hAnsi="Arial" w:cs="Arial"/>
                <w:sz w:val="20"/>
                <w:szCs w:val="20"/>
              </w:rPr>
              <w:t xml:space="preserve"> syringes are recommended). The fume hood or approved containment must be cleaned upon completion of tasks. When transporting LPS, the LPS vials should be placed in secondary, sealed, plastic, labeled, non-breakable containers.</w:t>
            </w:r>
          </w:p>
          <w:p w14:paraId="099099A8" w14:textId="77777777" w:rsidR="006C3E78" w:rsidRPr="00CA342E" w:rsidRDefault="006C3E78" w:rsidP="009610C5">
            <w:pPr>
              <w:pStyle w:val="Header"/>
              <w:tabs>
                <w:tab w:val="left" w:pos="432"/>
                <w:tab w:val="left" w:pos="720"/>
              </w:tabs>
              <w:spacing w:after="58"/>
              <w:jc w:val="both"/>
              <w:rPr>
                <w:rFonts w:ascii="Arial" w:hAnsi="Arial" w:cs="Arial"/>
                <w:sz w:val="20"/>
                <w:szCs w:val="20"/>
                <w:u w:val="single"/>
              </w:rPr>
            </w:pPr>
            <w:r w:rsidRPr="00CA342E">
              <w:rPr>
                <w:rFonts w:ascii="Arial" w:hAnsi="Arial" w:cs="Arial"/>
                <w:sz w:val="20"/>
                <w:szCs w:val="20"/>
                <w:u w:val="single"/>
              </w:rPr>
              <w:t>Storage</w:t>
            </w:r>
            <w:r w:rsidRPr="00CA342E">
              <w:rPr>
                <w:rFonts w:ascii="Arial" w:hAnsi="Arial" w:cs="Arial"/>
                <w:sz w:val="20"/>
                <w:szCs w:val="20"/>
              </w:rPr>
              <w:t>:  Keep tightly closed. Store in 4</w:t>
            </w:r>
            <w:r w:rsidRPr="00CA342E">
              <w:rPr>
                <w:rFonts w:ascii="Arial" w:hAnsi="Arial" w:cs="Arial"/>
                <w:sz w:val="20"/>
                <w:szCs w:val="20"/>
                <w:vertAlign w:val="superscript"/>
              </w:rPr>
              <w:t>o</w:t>
            </w:r>
            <w:r w:rsidRPr="00CA342E">
              <w:rPr>
                <w:rFonts w:ascii="Arial" w:hAnsi="Arial" w:cs="Arial"/>
                <w:sz w:val="20"/>
                <w:szCs w:val="20"/>
              </w:rPr>
              <w:t xml:space="preserve">C Desiccators. </w:t>
            </w:r>
          </w:p>
        </w:tc>
      </w:tr>
      <w:tr w:rsidR="006C3E78" w:rsidRPr="00CA342E" w14:paraId="093B451C" w14:textId="77777777" w:rsidTr="006C3E78">
        <w:tc>
          <w:tcPr>
            <w:tcW w:w="3870" w:type="dxa"/>
            <w:tcBorders>
              <w:top w:val="single" w:sz="7" w:space="0" w:color="000000"/>
              <w:left w:val="single" w:sz="7" w:space="0" w:color="000000"/>
              <w:bottom w:val="single" w:sz="7" w:space="0" w:color="000000"/>
              <w:right w:val="single" w:sz="4" w:space="0" w:color="auto"/>
            </w:tcBorders>
          </w:tcPr>
          <w:p w14:paraId="04742D50" w14:textId="0D325D6D"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6. Spill and Accident Procedures</w:t>
            </w:r>
          </w:p>
          <w:p w14:paraId="77FB0663"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6210" w:type="dxa"/>
            <w:tcBorders>
              <w:top w:val="single" w:sz="4" w:space="0" w:color="auto"/>
              <w:left w:val="single" w:sz="4" w:space="0" w:color="auto"/>
              <w:bottom w:val="single" w:sz="8" w:space="0" w:color="000000"/>
              <w:right w:val="single" w:sz="4" w:space="0" w:color="auto"/>
            </w:tcBorders>
          </w:tcPr>
          <w:p w14:paraId="74310A3C" w14:textId="77777777" w:rsidR="006C3E78" w:rsidRDefault="006C3E78" w:rsidP="009610C5">
            <w:pPr>
              <w:spacing w:after="0" w:line="240" w:lineRule="auto"/>
              <w:ind w:left="360"/>
              <w:jc w:val="both"/>
              <w:rPr>
                <w:rFonts w:ascii="Arial" w:hAnsi="Arial" w:cs="Arial"/>
                <w:sz w:val="20"/>
                <w:szCs w:val="20"/>
              </w:rPr>
            </w:pPr>
            <w:r w:rsidRPr="00CA342E">
              <w:rPr>
                <w:rFonts w:ascii="Arial" w:hAnsi="Arial" w:cs="Arial"/>
                <w:sz w:val="20"/>
                <w:szCs w:val="20"/>
              </w:rPr>
              <w:t>Spills must be cleaned immediately by properly protected and trained staff.</w:t>
            </w:r>
          </w:p>
          <w:p w14:paraId="18628CD2" w14:textId="77777777" w:rsidR="006C3E78" w:rsidRPr="00CA342E" w:rsidRDefault="006C3E78" w:rsidP="009610C5">
            <w:pPr>
              <w:spacing w:after="0" w:line="240" w:lineRule="auto"/>
              <w:ind w:left="360"/>
              <w:jc w:val="both"/>
              <w:rPr>
                <w:rFonts w:ascii="Arial" w:hAnsi="Arial" w:cs="Arial"/>
                <w:sz w:val="20"/>
                <w:szCs w:val="20"/>
              </w:rPr>
            </w:pPr>
          </w:p>
          <w:p w14:paraId="17C112DB" w14:textId="12EEC833" w:rsidR="006C3E78" w:rsidRDefault="006C3E78" w:rsidP="009610C5">
            <w:pPr>
              <w:spacing w:after="0" w:line="240" w:lineRule="auto"/>
              <w:ind w:left="360"/>
              <w:jc w:val="both"/>
              <w:rPr>
                <w:rFonts w:ascii="Arial" w:hAnsi="Arial" w:cs="Arial"/>
                <w:sz w:val="20"/>
                <w:szCs w:val="20"/>
              </w:rPr>
            </w:pPr>
            <w:r w:rsidRPr="00CA342E">
              <w:rPr>
                <w:rFonts w:ascii="Arial" w:hAnsi="Arial" w:cs="Arial"/>
                <w:sz w:val="20"/>
                <w:szCs w:val="20"/>
              </w:rPr>
              <w:t>Liquid Spills:  should be cleaned immediately by personnel wearing a gown, goggles, and two pairs of gloves (nitrile).  Use absorbent pads to wipe liquid.  The spill area should then be cleaned with a 10% bleach solution for 30 minutes followed by clean water.  Place spill waste in plastic bag, label</w:t>
            </w:r>
            <w:r>
              <w:rPr>
                <w:rFonts w:ascii="Arial" w:hAnsi="Arial" w:cs="Arial"/>
                <w:sz w:val="20"/>
                <w:szCs w:val="20"/>
              </w:rPr>
              <w:t xml:space="preserve"> as hazardous waste, request </w:t>
            </w:r>
            <w:r w:rsidR="009610C5">
              <w:rPr>
                <w:rFonts w:ascii="Arial" w:hAnsi="Arial" w:cs="Arial"/>
                <w:sz w:val="20"/>
                <w:szCs w:val="20"/>
              </w:rPr>
              <w:t>UW Safety</w:t>
            </w:r>
            <w:r w:rsidRPr="00CA342E">
              <w:rPr>
                <w:rFonts w:ascii="Arial" w:hAnsi="Arial" w:cs="Arial"/>
                <w:sz w:val="20"/>
                <w:szCs w:val="20"/>
              </w:rPr>
              <w:t xml:space="preserve"> pick-up.</w:t>
            </w:r>
          </w:p>
          <w:p w14:paraId="64FD28BC" w14:textId="77777777" w:rsidR="006C3E78" w:rsidRPr="00CA342E" w:rsidRDefault="006C3E78" w:rsidP="009610C5">
            <w:pPr>
              <w:spacing w:after="0" w:line="240" w:lineRule="auto"/>
              <w:ind w:left="360"/>
              <w:jc w:val="both"/>
              <w:rPr>
                <w:rFonts w:ascii="Arial" w:hAnsi="Arial" w:cs="Arial"/>
                <w:sz w:val="20"/>
                <w:szCs w:val="20"/>
              </w:rPr>
            </w:pPr>
          </w:p>
          <w:p w14:paraId="5F109195" w14:textId="51E0B24C" w:rsidR="006C3E78" w:rsidRPr="00CA342E" w:rsidRDefault="006C3E78" w:rsidP="009610C5">
            <w:pPr>
              <w:spacing w:after="0" w:line="240" w:lineRule="auto"/>
              <w:ind w:left="360"/>
              <w:jc w:val="both"/>
              <w:rPr>
                <w:rFonts w:ascii="Arial" w:hAnsi="Arial" w:cs="Arial"/>
                <w:sz w:val="20"/>
                <w:szCs w:val="20"/>
              </w:rPr>
            </w:pPr>
            <w:r w:rsidRPr="00CA342E">
              <w:rPr>
                <w:rFonts w:ascii="Arial" w:hAnsi="Arial" w:cs="Arial"/>
                <w:sz w:val="20"/>
                <w:szCs w:val="20"/>
              </w:rPr>
              <w:t xml:space="preserve">Powder Spills: should be cleaned immediately by personnel wearing a gown, goggles, and two pairs of gloves (nitrile).  For powder spills outside of a fume hood or approved containment, non-essential personnel should be instructed to leave the laboratory and entrance should be restricted. In addition to the </w:t>
            </w:r>
            <w:r w:rsidRPr="00CA342E">
              <w:rPr>
                <w:rFonts w:ascii="Arial" w:hAnsi="Arial" w:cs="Arial"/>
                <w:sz w:val="20"/>
                <w:szCs w:val="20"/>
              </w:rPr>
              <w:lastRenderedPageBreak/>
              <w:t xml:space="preserve">above specified PPE, A respirator (requires enrollment in UW’s respirator program) should also be worn. The spill area should then be cleaned thoroughly with a 10% bleach solution for 30 minutes followed by clean water.  Place spill waste in a plastic bag, label as hazardous waste, request </w:t>
            </w:r>
            <w:r w:rsidR="009610C5">
              <w:rPr>
                <w:rFonts w:ascii="Arial" w:hAnsi="Arial" w:cs="Arial"/>
                <w:sz w:val="20"/>
                <w:szCs w:val="20"/>
              </w:rPr>
              <w:t>UW Safety</w:t>
            </w:r>
            <w:r w:rsidRPr="00CA342E">
              <w:rPr>
                <w:rFonts w:ascii="Arial" w:hAnsi="Arial" w:cs="Arial"/>
                <w:sz w:val="20"/>
                <w:szCs w:val="20"/>
              </w:rPr>
              <w:t xml:space="preserve"> pick-up.</w:t>
            </w:r>
          </w:p>
          <w:p w14:paraId="19ADE071" w14:textId="77777777" w:rsidR="006C3E78" w:rsidRPr="00CA342E" w:rsidRDefault="006C3E78" w:rsidP="009610C5">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u w:val="single"/>
              </w:rPr>
              <w:t>Accident</w:t>
            </w:r>
            <w:r w:rsidRPr="00CA342E">
              <w:rPr>
                <w:rFonts w:ascii="Arial" w:hAnsi="Arial" w:cs="Arial"/>
                <w:sz w:val="20"/>
                <w:szCs w:val="20"/>
              </w:rPr>
              <w:t>:</w:t>
            </w:r>
          </w:p>
          <w:p w14:paraId="3E880453" w14:textId="77777777" w:rsidR="006C3E78" w:rsidRDefault="006C3E78" w:rsidP="009610C5">
            <w:pPr>
              <w:pStyle w:val="BodyTextIndent"/>
              <w:numPr>
                <w:ilvl w:val="0"/>
                <w:numId w:val="35"/>
              </w:numPr>
              <w:ind w:left="420" w:hanging="180"/>
              <w:jc w:val="both"/>
              <w:rPr>
                <w:rFonts w:ascii="Arial" w:hAnsi="Arial" w:cs="Arial"/>
                <w:sz w:val="20"/>
                <w:szCs w:val="20"/>
              </w:rPr>
            </w:pPr>
            <w:r w:rsidRPr="00CA342E">
              <w:rPr>
                <w:rFonts w:ascii="Arial" w:hAnsi="Arial" w:cs="Arial"/>
                <w:sz w:val="20"/>
                <w:szCs w:val="20"/>
              </w:rPr>
              <w:t>In case of skin contact or injection with LPS, was</w:t>
            </w:r>
            <w:r>
              <w:rPr>
                <w:rFonts w:ascii="Arial" w:hAnsi="Arial" w:cs="Arial"/>
                <w:sz w:val="20"/>
                <w:szCs w:val="20"/>
              </w:rPr>
              <w:t xml:space="preserve">h the affected area with </w:t>
            </w:r>
            <w:r w:rsidRPr="00CA342E">
              <w:rPr>
                <w:rFonts w:ascii="Arial" w:hAnsi="Arial" w:cs="Arial"/>
                <w:sz w:val="20"/>
                <w:szCs w:val="20"/>
              </w:rPr>
              <w:t>soap and water as soon as possi</w:t>
            </w:r>
            <w:r>
              <w:rPr>
                <w:rFonts w:ascii="Arial" w:hAnsi="Arial" w:cs="Arial"/>
                <w:sz w:val="20"/>
                <w:szCs w:val="20"/>
              </w:rPr>
              <w:t>ble for at least 15 minutes.</w:t>
            </w:r>
          </w:p>
          <w:p w14:paraId="031AC39D" w14:textId="77777777" w:rsidR="006C3E78" w:rsidRDefault="006C3E78" w:rsidP="009610C5">
            <w:pPr>
              <w:pStyle w:val="BodyTextIndent"/>
              <w:numPr>
                <w:ilvl w:val="0"/>
                <w:numId w:val="35"/>
              </w:numPr>
              <w:ind w:left="420" w:hanging="180"/>
              <w:jc w:val="both"/>
              <w:rPr>
                <w:rFonts w:ascii="Arial" w:hAnsi="Arial" w:cs="Arial"/>
                <w:sz w:val="20"/>
                <w:szCs w:val="20"/>
              </w:rPr>
            </w:pPr>
            <w:r w:rsidRPr="004B5503">
              <w:rPr>
                <w:rFonts w:ascii="Arial" w:hAnsi="Arial" w:cs="Arial"/>
                <w:sz w:val="20"/>
                <w:szCs w:val="20"/>
              </w:rPr>
              <w:t>For eye exposure, flush with water for at least 15 minutes.  Then go to the Ivinson Memorial Hospital Emergency Department.</w:t>
            </w:r>
          </w:p>
          <w:p w14:paraId="34CF213F" w14:textId="1038A580" w:rsidR="006C3E78" w:rsidRPr="004B5503" w:rsidRDefault="006C3E78" w:rsidP="009610C5">
            <w:pPr>
              <w:pStyle w:val="BodyTextIndent"/>
              <w:numPr>
                <w:ilvl w:val="0"/>
                <w:numId w:val="35"/>
              </w:numPr>
              <w:ind w:left="420" w:hanging="180"/>
              <w:jc w:val="both"/>
              <w:rPr>
                <w:rFonts w:ascii="Arial" w:hAnsi="Arial" w:cs="Arial"/>
                <w:sz w:val="20"/>
                <w:szCs w:val="20"/>
              </w:rPr>
            </w:pPr>
            <w:r w:rsidRPr="004B5503">
              <w:rPr>
                <w:rFonts w:ascii="Arial" w:hAnsi="Arial" w:cs="Arial"/>
                <w:sz w:val="20"/>
                <w:szCs w:val="20"/>
              </w:rPr>
              <w:t>Report incident to supervisor. Supervisor reports the accident/injury on UW.</w:t>
            </w:r>
          </w:p>
        </w:tc>
      </w:tr>
      <w:tr w:rsidR="006C3E78" w:rsidRPr="00CA342E" w14:paraId="793D14D4" w14:textId="77777777" w:rsidTr="006C3E78">
        <w:tc>
          <w:tcPr>
            <w:tcW w:w="3870" w:type="dxa"/>
            <w:tcBorders>
              <w:top w:val="single" w:sz="7" w:space="0" w:color="000000"/>
              <w:left w:val="single" w:sz="7" w:space="0" w:color="000000"/>
              <w:bottom w:val="single" w:sz="7" w:space="0" w:color="000000"/>
              <w:right w:val="single" w:sz="4" w:space="0" w:color="auto"/>
            </w:tcBorders>
          </w:tcPr>
          <w:p w14:paraId="41D6F7C6"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lastRenderedPageBreak/>
              <w:t>7. Waste Disposal</w:t>
            </w:r>
          </w:p>
          <w:p w14:paraId="6EEC2E09"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p w14:paraId="75AEF791"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6210" w:type="dxa"/>
            <w:tcBorders>
              <w:top w:val="single" w:sz="8" w:space="0" w:color="000000"/>
              <w:left w:val="single" w:sz="4" w:space="0" w:color="auto"/>
              <w:bottom w:val="single" w:sz="8" w:space="0" w:color="000000"/>
              <w:right w:val="single" w:sz="4" w:space="0" w:color="auto"/>
            </w:tcBorders>
          </w:tcPr>
          <w:p w14:paraId="545C6FE2" w14:textId="28420E09" w:rsidR="006C3E78" w:rsidRPr="00CA342E" w:rsidRDefault="006C3E78" w:rsidP="009610C5">
            <w:pPr>
              <w:jc w:val="both"/>
              <w:rPr>
                <w:rFonts w:ascii="Arial" w:hAnsi="Arial" w:cs="Arial"/>
                <w:sz w:val="20"/>
                <w:szCs w:val="20"/>
              </w:rPr>
            </w:pPr>
            <w:r w:rsidRPr="00CA342E">
              <w:rPr>
                <w:rFonts w:ascii="Arial" w:hAnsi="Arial" w:cs="Arial"/>
                <w:sz w:val="20"/>
                <w:szCs w:val="20"/>
              </w:rPr>
              <w:t>Full strength unused LPS, mixtures containing LPS, and grossly contaminated spill clean-up</w:t>
            </w:r>
            <w:r>
              <w:rPr>
                <w:rFonts w:ascii="Arial" w:hAnsi="Arial" w:cs="Arial"/>
                <w:sz w:val="20"/>
                <w:szCs w:val="20"/>
              </w:rPr>
              <w:t xml:space="preserve"> debris must be collected by </w:t>
            </w:r>
            <w:r w:rsidR="009610C5">
              <w:rPr>
                <w:rFonts w:ascii="Arial" w:hAnsi="Arial" w:cs="Arial"/>
                <w:sz w:val="20"/>
                <w:szCs w:val="20"/>
              </w:rPr>
              <w:t>UW Safety</w:t>
            </w:r>
            <w:r w:rsidRPr="00CA342E">
              <w:rPr>
                <w:rFonts w:ascii="Arial" w:hAnsi="Arial" w:cs="Arial"/>
                <w:sz w:val="20"/>
                <w:szCs w:val="20"/>
              </w:rPr>
              <w:t xml:space="preserve">. For other waste </w:t>
            </w:r>
            <w:r>
              <w:rPr>
                <w:rFonts w:ascii="Arial" w:hAnsi="Arial" w:cs="Arial"/>
                <w:sz w:val="20"/>
                <w:szCs w:val="20"/>
              </w:rPr>
              <w:t xml:space="preserve">containing LPS, consult with </w:t>
            </w:r>
            <w:r w:rsidR="009610C5">
              <w:rPr>
                <w:rFonts w:ascii="Arial" w:hAnsi="Arial" w:cs="Arial"/>
                <w:sz w:val="20"/>
                <w:szCs w:val="20"/>
              </w:rPr>
              <w:t xml:space="preserve">UW Safety - </w:t>
            </w:r>
            <w:r>
              <w:rPr>
                <w:rFonts w:ascii="Arial" w:hAnsi="Arial" w:cs="Arial"/>
                <w:sz w:val="20"/>
                <w:szCs w:val="20"/>
              </w:rPr>
              <w:t>RMMC at 307-766-3698</w:t>
            </w:r>
          </w:p>
        </w:tc>
      </w:tr>
      <w:tr w:rsidR="006C3E78" w:rsidRPr="00CA342E" w14:paraId="68ECD4D0" w14:textId="77777777" w:rsidTr="006C3E78">
        <w:tc>
          <w:tcPr>
            <w:tcW w:w="3870" w:type="dxa"/>
            <w:tcBorders>
              <w:top w:val="single" w:sz="7" w:space="0" w:color="000000"/>
              <w:left w:val="single" w:sz="7" w:space="0" w:color="000000"/>
              <w:right w:val="single" w:sz="4" w:space="0" w:color="auto"/>
            </w:tcBorders>
          </w:tcPr>
          <w:p w14:paraId="37550027" w14:textId="305B694B"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8. Precautions for Animal Use</w:t>
            </w:r>
          </w:p>
        </w:tc>
        <w:tc>
          <w:tcPr>
            <w:tcW w:w="6210" w:type="dxa"/>
            <w:tcBorders>
              <w:top w:val="single" w:sz="8" w:space="0" w:color="000000"/>
              <w:left w:val="single" w:sz="4" w:space="0" w:color="auto"/>
              <w:bottom w:val="single" w:sz="4" w:space="0" w:color="auto"/>
              <w:right w:val="single" w:sz="4" w:space="0" w:color="auto"/>
            </w:tcBorders>
          </w:tcPr>
          <w:p w14:paraId="52F3AAD0" w14:textId="77777777" w:rsidR="006C3E78" w:rsidRPr="00CA342E" w:rsidRDefault="006C3E78" w:rsidP="009610C5">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No recapping needles. Have a sharps container in close vicinity. Animals should be restrained or anesthetized during injection. Once LPS is injected, animals are neither hazardous nor infectious. </w:t>
            </w:r>
          </w:p>
        </w:tc>
      </w:tr>
      <w:tr w:rsidR="006C3E78" w:rsidRPr="00CA342E" w14:paraId="5AD6ACE8" w14:textId="77777777" w:rsidTr="006C3E78">
        <w:tc>
          <w:tcPr>
            <w:tcW w:w="3870" w:type="dxa"/>
            <w:tcBorders>
              <w:top w:val="single" w:sz="7" w:space="0" w:color="000000"/>
              <w:left w:val="single" w:sz="7" w:space="0" w:color="000000"/>
              <w:bottom w:val="single" w:sz="7" w:space="0" w:color="000000"/>
              <w:right w:val="single" w:sz="7" w:space="0" w:color="000000"/>
            </w:tcBorders>
          </w:tcPr>
          <w:p w14:paraId="60AD14F0"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9. Decontamination</w:t>
            </w:r>
          </w:p>
        </w:tc>
        <w:tc>
          <w:tcPr>
            <w:tcW w:w="6210" w:type="dxa"/>
            <w:tcBorders>
              <w:top w:val="single" w:sz="4" w:space="0" w:color="auto"/>
              <w:left w:val="single" w:sz="7" w:space="0" w:color="000000"/>
              <w:bottom w:val="single" w:sz="7" w:space="0" w:color="000000"/>
              <w:right w:val="single" w:sz="7" w:space="0" w:color="000000"/>
            </w:tcBorders>
          </w:tcPr>
          <w:p w14:paraId="6B09322C" w14:textId="77777777" w:rsidR="006C3E78" w:rsidRPr="00CA342E" w:rsidRDefault="006C3E78" w:rsidP="009610C5">
            <w:pPr>
              <w:tabs>
                <w:tab w:val="left" w:pos="432"/>
                <w:tab w:val="left" w:pos="720"/>
              </w:tabs>
              <w:spacing w:after="58"/>
              <w:jc w:val="both"/>
              <w:rPr>
                <w:rFonts w:ascii="Arial" w:hAnsi="Arial" w:cs="Arial"/>
                <w:color w:val="000000"/>
                <w:sz w:val="20"/>
                <w:szCs w:val="20"/>
              </w:rPr>
            </w:pPr>
            <w:r w:rsidRPr="00CA342E">
              <w:rPr>
                <w:rFonts w:ascii="Arial" w:hAnsi="Arial" w:cs="Arial"/>
                <w:color w:val="000000"/>
                <w:sz w:val="20"/>
                <w:szCs w:val="20"/>
              </w:rPr>
              <w:t>Decontaminate work areas with 10% bleach for 30 minutes. Follow with clean water.</w:t>
            </w:r>
          </w:p>
        </w:tc>
      </w:tr>
      <w:tr w:rsidR="006C3E78" w:rsidRPr="00CA342E" w14:paraId="7741F6FD" w14:textId="77777777" w:rsidTr="006C3E78">
        <w:tc>
          <w:tcPr>
            <w:tcW w:w="3870" w:type="dxa"/>
            <w:tcBorders>
              <w:top w:val="single" w:sz="7" w:space="0" w:color="000000"/>
              <w:left w:val="single" w:sz="7" w:space="0" w:color="000000"/>
              <w:bottom w:val="single" w:sz="7" w:space="0" w:color="000000"/>
              <w:right w:val="single" w:sz="7" w:space="0" w:color="000000"/>
            </w:tcBorders>
          </w:tcPr>
          <w:p w14:paraId="78B421E9" w14:textId="77777777" w:rsidR="006C3E78" w:rsidRPr="00CA342E" w:rsidRDefault="006C3E7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10. Designated Area</w:t>
            </w:r>
          </w:p>
        </w:tc>
        <w:tc>
          <w:tcPr>
            <w:tcW w:w="6210" w:type="dxa"/>
            <w:tcBorders>
              <w:top w:val="single" w:sz="7" w:space="0" w:color="000000"/>
              <w:left w:val="single" w:sz="7" w:space="0" w:color="000000"/>
              <w:bottom w:val="single" w:sz="7" w:space="0" w:color="000000"/>
              <w:right w:val="single" w:sz="7" w:space="0" w:color="000000"/>
            </w:tcBorders>
          </w:tcPr>
          <w:p w14:paraId="3185DB7C" w14:textId="77777777" w:rsidR="006C3E78" w:rsidRPr="00CA342E" w:rsidRDefault="006C3E78" w:rsidP="009610C5">
            <w:pPr>
              <w:tabs>
                <w:tab w:val="left" w:pos="432"/>
                <w:tab w:val="left" w:pos="720"/>
              </w:tabs>
              <w:spacing w:after="58"/>
              <w:jc w:val="both"/>
              <w:rPr>
                <w:rFonts w:ascii="Arial" w:hAnsi="Arial" w:cs="Arial"/>
                <w:color w:val="000000"/>
                <w:sz w:val="20"/>
                <w:szCs w:val="20"/>
              </w:rPr>
            </w:pPr>
          </w:p>
        </w:tc>
      </w:tr>
      <w:tr w:rsidR="006C3E78" w:rsidRPr="00CA342E" w14:paraId="6B246D50" w14:textId="77777777" w:rsidTr="006C3E78">
        <w:tc>
          <w:tcPr>
            <w:tcW w:w="10080" w:type="dxa"/>
            <w:gridSpan w:val="2"/>
            <w:tcBorders>
              <w:top w:val="double" w:sz="7" w:space="0" w:color="000000"/>
              <w:left w:val="single" w:sz="7" w:space="0" w:color="000000"/>
              <w:bottom w:val="single" w:sz="7" w:space="0" w:color="000000"/>
              <w:right w:val="single" w:sz="7" w:space="0" w:color="000000"/>
            </w:tcBorders>
          </w:tcPr>
          <w:p w14:paraId="38AD4B09" w14:textId="77777777" w:rsidR="006C3E78" w:rsidRPr="006935A4" w:rsidRDefault="006C3E78"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6C3E78" w:rsidRPr="00CA342E" w14:paraId="7AFA5801" w14:textId="77777777" w:rsidTr="006C3E78">
        <w:tc>
          <w:tcPr>
            <w:tcW w:w="10080" w:type="dxa"/>
            <w:gridSpan w:val="2"/>
            <w:tcBorders>
              <w:top w:val="single" w:sz="7" w:space="0" w:color="000000"/>
              <w:left w:val="single" w:sz="7" w:space="0" w:color="000000"/>
              <w:bottom w:val="single" w:sz="7" w:space="0" w:color="000000"/>
              <w:right w:val="single" w:sz="7" w:space="0" w:color="000000"/>
            </w:tcBorders>
          </w:tcPr>
          <w:p w14:paraId="6F82761E" w14:textId="77777777" w:rsidR="006C3E78" w:rsidRPr="006935A4" w:rsidRDefault="006C3E78"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6C3E78" w:rsidRPr="00CA342E" w14:paraId="68D897AB" w14:textId="77777777" w:rsidTr="006C3E78">
        <w:tc>
          <w:tcPr>
            <w:tcW w:w="10080" w:type="dxa"/>
            <w:gridSpan w:val="2"/>
            <w:tcBorders>
              <w:top w:val="single" w:sz="7" w:space="0" w:color="000000"/>
              <w:left w:val="single" w:sz="7" w:space="0" w:color="000000"/>
              <w:bottom w:val="single" w:sz="7" w:space="0" w:color="000000"/>
              <w:right w:val="single" w:sz="7" w:space="0" w:color="000000"/>
            </w:tcBorders>
          </w:tcPr>
          <w:p w14:paraId="710F08FC" w14:textId="77777777" w:rsidR="006C3E78" w:rsidRPr="006935A4" w:rsidRDefault="006C3E78"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6C3E78" w:rsidRPr="00CA342E" w14:paraId="114C2BCD" w14:textId="77777777" w:rsidTr="006C3E78">
        <w:tc>
          <w:tcPr>
            <w:tcW w:w="10080" w:type="dxa"/>
            <w:gridSpan w:val="2"/>
            <w:tcBorders>
              <w:top w:val="single" w:sz="7" w:space="0" w:color="000000"/>
              <w:left w:val="single" w:sz="7" w:space="0" w:color="000000"/>
              <w:bottom w:val="single" w:sz="7" w:space="0" w:color="000000"/>
              <w:right w:val="single" w:sz="7" w:space="0" w:color="000000"/>
            </w:tcBorders>
          </w:tcPr>
          <w:p w14:paraId="583F5928" w14:textId="77777777" w:rsidR="006C3E78" w:rsidRPr="006935A4" w:rsidRDefault="006C3E78"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6C3E78" w:rsidRPr="00CA342E" w14:paraId="513D9FC2" w14:textId="77777777" w:rsidTr="006C3E78">
        <w:tc>
          <w:tcPr>
            <w:tcW w:w="10080" w:type="dxa"/>
            <w:gridSpan w:val="2"/>
            <w:tcBorders>
              <w:top w:val="single" w:sz="7" w:space="0" w:color="000000"/>
              <w:left w:val="single" w:sz="7" w:space="0" w:color="000000"/>
              <w:bottom w:val="single" w:sz="7" w:space="0" w:color="000000"/>
              <w:right w:val="single" w:sz="7" w:space="0" w:color="000000"/>
            </w:tcBorders>
          </w:tcPr>
          <w:p w14:paraId="323909E7" w14:textId="0E37BD2B" w:rsidR="006C3E78" w:rsidRPr="006935A4" w:rsidRDefault="006C3E78"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9610C5">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4426C233" w14:textId="77777777" w:rsidR="00002BFA" w:rsidRPr="002C7A79" w:rsidRDefault="006C3E78" w:rsidP="00BC1306">
      <w:pPr>
        <w:pStyle w:val="Heading5"/>
        <w:tabs>
          <w:tab w:val="center" w:pos="4860"/>
          <w:tab w:val="left" w:pos="7380"/>
        </w:tabs>
      </w:pPr>
      <w:r>
        <w:rPr>
          <w:rFonts w:ascii="Arial" w:hAnsi="Arial" w:cs="Arial"/>
          <w:i w:val="0"/>
          <w:sz w:val="24"/>
          <w:szCs w:val="24"/>
        </w:rPr>
        <w:t xml:space="preserve"> </w:t>
      </w:r>
    </w:p>
    <w:sectPr w:rsidR="00002BFA" w:rsidRPr="002C7A79" w:rsidSect="00244722">
      <w:headerReference w:type="default" r:id="rId8"/>
      <w:footerReference w:type="default" r:id="rId9"/>
      <w:headerReference w:type="first" r:id="rId10"/>
      <w:footerReference w:type="first" r:id="rId11"/>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0869" w14:textId="77777777" w:rsidR="00E365CE" w:rsidRDefault="00E365CE" w:rsidP="00791DCE">
      <w:pPr>
        <w:spacing w:after="0" w:line="240" w:lineRule="auto"/>
      </w:pPr>
      <w:r>
        <w:separator/>
      </w:r>
    </w:p>
  </w:endnote>
  <w:endnote w:type="continuationSeparator" w:id="0">
    <w:p w14:paraId="39237149" w14:textId="77777777" w:rsidR="00E365CE" w:rsidRDefault="00E365CE"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94481107"/>
      <w:docPartObj>
        <w:docPartGallery w:val="Page Numbers (Bottom of Page)"/>
        <w:docPartUnique/>
      </w:docPartObj>
    </w:sdtPr>
    <w:sdtEndPr/>
    <w:sdtContent>
      <w:sdt>
        <w:sdtPr>
          <w:rPr>
            <w:sz w:val="20"/>
            <w:szCs w:val="20"/>
          </w:rPr>
          <w:id w:val="-425191792"/>
          <w:docPartObj>
            <w:docPartGallery w:val="Page Numbers (Top of Page)"/>
            <w:docPartUnique/>
          </w:docPartObj>
        </w:sdtPr>
        <w:sdtEndPr/>
        <w:sdtContent>
          <w:p w14:paraId="789D13AA" w14:textId="42046392" w:rsidR="00244722" w:rsidRPr="006620EE" w:rsidRDefault="00244722" w:rsidP="00244722">
            <w:pPr>
              <w:pStyle w:val="Footer"/>
              <w:rPr>
                <w:rFonts w:eastAsia="Times New Roman"/>
                <w:sz w:val="20"/>
                <w:szCs w:val="20"/>
              </w:rPr>
            </w:pPr>
            <w:r w:rsidRPr="006620EE">
              <w:rPr>
                <w:sz w:val="20"/>
                <w:szCs w:val="20"/>
              </w:rPr>
              <w:t>Reviewed &amp; Revised</w:t>
            </w:r>
            <w:r>
              <w:rPr>
                <w:sz w:val="20"/>
                <w:szCs w:val="20"/>
              </w:rPr>
              <w:t xml:space="preserve"> </w:t>
            </w:r>
            <w:r w:rsidR="00E528ED">
              <w:rPr>
                <w:sz w:val="20"/>
                <w:szCs w:val="20"/>
              </w:rPr>
              <w:t>10</w:t>
            </w:r>
            <w:r>
              <w:rPr>
                <w:sz w:val="20"/>
                <w:szCs w:val="20"/>
              </w:rPr>
              <w:t>-20</w:t>
            </w:r>
            <w:r w:rsidR="00E528ED">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28142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4BB041F" w14:textId="34EA1E20" w:rsidR="00244722" w:rsidRPr="006620EE" w:rsidRDefault="00244722" w:rsidP="00244722">
            <w:pPr>
              <w:pStyle w:val="Footer"/>
              <w:rPr>
                <w:rFonts w:eastAsia="Times New Roman"/>
                <w:sz w:val="20"/>
                <w:szCs w:val="20"/>
              </w:rPr>
            </w:pPr>
            <w:r w:rsidRPr="006620EE">
              <w:rPr>
                <w:sz w:val="20"/>
                <w:szCs w:val="20"/>
              </w:rPr>
              <w:t>Reviewed &amp; Revised</w:t>
            </w:r>
            <w:r>
              <w:rPr>
                <w:sz w:val="20"/>
                <w:szCs w:val="20"/>
              </w:rPr>
              <w:t xml:space="preserve"> </w:t>
            </w:r>
            <w:r w:rsidR="00E528ED">
              <w:rPr>
                <w:sz w:val="20"/>
                <w:szCs w:val="20"/>
              </w:rPr>
              <w:t>10</w:t>
            </w:r>
            <w:r>
              <w:rPr>
                <w:sz w:val="20"/>
                <w:szCs w:val="20"/>
              </w:rPr>
              <w:t>-20</w:t>
            </w:r>
            <w:r w:rsidR="00E528ED">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FC22" w14:textId="77777777" w:rsidR="00E365CE" w:rsidRDefault="00E365CE" w:rsidP="00791DCE">
      <w:pPr>
        <w:spacing w:after="0" w:line="240" w:lineRule="auto"/>
      </w:pPr>
      <w:r>
        <w:separator/>
      </w:r>
    </w:p>
  </w:footnote>
  <w:footnote w:type="continuationSeparator" w:id="0">
    <w:p w14:paraId="17769888" w14:textId="77777777" w:rsidR="00E365CE" w:rsidRDefault="00E365CE"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2666" w14:textId="1FE78DF6" w:rsidR="00D144A6" w:rsidRPr="00880E15" w:rsidRDefault="00E528ED"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0C2B7057" wp14:editId="1DE4EEB8">
          <wp:simplePos x="0" y="0"/>
          <wp:positionH relativeFrom="column">
            <wp:posOffset>4048125</wp:posOffset>
          </wp:positionH>
          <wp:positionV relativeFrom="page">
            <wp:posOffset>203200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66F4F683" w14:textId="01D9E9B6"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BF25" w14:textId="4FAE0FB7" w:rsidR="00D144A6" w:rsidRPr="00880E15" w:rsidRDefault="00E528ED" w:rsidP="00593809">
    <w:pPr>
      <w:pStyle w:val="Header"/>
      <w:rPr>
        <w:rFonts w:ascii="Arial" w:hAnsi="Arial" w:cs="Arial"/>
        <w:sz w:val="24"/>
        <w:szCs w:val="24"/>
      </w:rPr>
    </w:pPr>
    <w:r>
      <w:rPr>
        <w:noProof/>
        <w:sz w:val="48"/>
        <w:szCs w:val="48"/>
      </w:rPr>
      <w:drawing>
        <wp:anchor distT="0" distB="0" distL="114300" distR="114300" simplePos="0" relativeHeight="251658240" behindDoc="0" locked="0" layoutInCell="1" allowOverlap="0" wp14:anchorId="50EB5F39" wp14:editId="6BE4C000">
          <wp:simplePos x="0" y="0"/>
          <wp:positionH relativeFrom="column">
            <wp:posOffset>4152900</wp:posOffset>
          </wp:positionH>
          <wp:positionV relativeFrom="page">
            <wp:posOffset>203200</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F23F8E">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6F8BA9EF" w14:textId="2677741C"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30"/>
  </w:num>
  <w:num w:numId="4">
    <w:abstractNumId w:val="33"/>
  </w:num>
  <w:num w:numId="5">
    <w:abstractNumId w:val="8"/>
  </w:num>
  <w:num w:numId="6">
    <w:abstractNumId w:val="4"/>
  </w:num>
  <w:num w:numId="7">
    <w:abstractNumId w:val="27"/>
  </w:num>
  <w:num w:numId="8">
    <w:abstractNumId w:val="9"/>
  </w:num>
  <w:num w:numId="9">
    <w:abstractNumId w:val="21"/>
  </w:num>
  <w:num w:numId="10">
    <w:abstractNumId w:val="25"/>
  </w:num>
  <w:num w:numId="11">
    <w:abstractNumId w:val="5"/>
  </w:num>
  <w:num w:numId="12">
    <w:abstractNumId w:val="3"/>
  </w:num>
  <w:num w:numId="13">
    <w:abstractNumId w:val="6"/>
  </w:num>
  <w:num w:numId="14">
    <w:abstractNumId w:val="18"/>
  </w:num>
  <w:num w:numId="15">
    <w:abstractNumId w:val="13"/>
  </w:num>
  <w:num w:numId="16">
    <w:abstractNumId w:val="14"/>
  </w:num>
  <w:num w:numId="17">
    <w:abstractNumId w:val="26"/>
  </w:num>
  <w:num w:numId="18">
    <w:abstractNumId w:val="11"/>
  </w:num>
  <w:num w:numId="19">
    <w:abstractNumId w:val="22"/>
  </w:num>
  <w:num w:numId="20">
    <w:abstractNumId w:val="17"/>
  </w:num>
  <w:num w:numId="21">
    <w:abstractNumId w:val="34"/>
  </w:num>
  <w:num w:numId="22">
    <w:abstractNumId w:val="23"/>
  </w:num>
  <w:num w:numId="23">
    <w:abstractNumId w:val="28"/>
  </w:num>
  <w:num w:numId="24">
    <w:abstractNumId w:val="32"/>
  </w:num>
  <w:num w:numId="25">
    <w:abstractNumId w:val="24"/>
  </w:num>
  <w:num w:numId="26">
    <w:abstractNumId w:val="10"/>
  </w:num>
  <w:num w:numId="27">
    <w:abstractNumId w:val="12"/>
  </w:num>
  <w:num w:numId="28">
    <w:abstractNumId w:val="16"/>
  </w:num>
  <w:num w:numId="29">
    <w:abstractNumId w:val="2"/>
  </w:num>
  <w:num w:numId="30">
    <w:abstractNumId w:val="15"/>
  </w:num>
  <w:num w:numId="31">
    <w:abstractNumId w:val="31"/>
  </w:num>
  <w:num w:numId="32">
    <w:abstractNumId w:val="0"/>
  </w:num>
  <w:num w:numId="33">
    <w:abstractNumId w:val="19"/>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4663"/>
    <w:rsid w:val="000C5690"/>
    <w:rsid w:val="00112DED"/>
    <w:rsid w:val="00146FDE"/>
    <w:rsid w:val="00160092"/>
    <w:rsid w:val="001749F2"/>
    <w:rsid w:val="001C0A18"/>
    <w:rsid w:val="001C25B2"/>
    <w:rsid w:val="001C6D5E"/>
    <w:rsid w:val="001E251E"/>
    <w:rsid w:val="001E5368"/>
    <w:rsid w:val="001F009C"/>
    <w:rsid w:val="001F5924"/>
    <w:rsid w:val="00207C03"/>
    <w:rsid w:val="002161B3"/>
    <w:rsid w:val="002233AE"/>
    <w:rsid w:val="00225A6A"/>
    <w:rsid w:val="00226B54"/>
    <w:rsid w:val="002444A3"/>
    <w:rsid w:val="00244722"/>
    <w:rsid w:val="00264B99"/>
    <w:rsid w:val="002B5567"/>
    <w:rsid w:val="002B7CDD"/>
    <w:rsid w:val="002C03DA"/>
    <w:rsid w:val="002C7A79"/>
    <w:rsid w:val="002E13BD"/>
    <w:rsid w:val="002E35E8"/>
    <w:rsid w:val="002F7053"/>
    <w:rsid w:val="00301861"/>
    <w:rsid w:val="00305641"/>
    <w:rsid w:val="00332EB2"/>
    <w:rsid w:val="00342204"/>
    <w:rsid w:val="00343304"/>
    <w:rsid w:val="00344F43"/>
    <w:rsid w:val="00392D36"/>
    <w:rsid w:val="0039721A"/>
    <w:rsid w:val="00397B6C"/>
    <w:rsid w:val="003B73DB"/>
    <w:rsid w:val="003C0C99"/>
    <w:rsid w:val="003C2195"/>
    <w:rsid w:val="003D3C49"/>
    <w:rsid w:val="003D7018"/>
    <w:rsid w:val="003F063D"/>
    <w:rsid w:val="0040497F"/>
    <w:rsid w:val="00424118"/>
    <w:rsid w:val="0046178C"/>
    <w:rsid w:val="004B0494"/>
    <w:rsid w:val="004F0832"/>
    <w:rsid w:val="00505187"/>
    <w:rsid w:val="00530CBB"/>
    <w:rsid w:val="0056357D"/>
    <w:rsid w:val="00570987"/>
    <w:rsid w:val="00585DFF"/>
    <w:rsid w:val="00592047"/>
    <w:rsid w:val="00593809"/>
    <w:rsid w:val="005956E6"/>
    <w:rsid w:val="005B4EF7"/>
    <w:rsid w:val="005C19F5"/>
    <w:rsid w:val="005D76CB"/>
    <w:rsid w:val="00600680"/>
    <w:rsid w:val="00603670"/>
    <w:rsid w:val="00615833"/>
    <w:rsid w:val="006249ED"/>
    <w:rsid w:val="00655065"/>
    <w:rsid w:val="006602B4"/>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3510"/>
    <w:rsid w:val="00825750"/>
    <w:rsid w:val="00840EE6"/>
    <w:rsid w:val="00861B14"/>
    <w:rsid w:val="00881BA6"/>
    <w:rsid w:val="00886E41"/>
    <w:rsid w:val="00894557"/>
    <w:rsid w:val="008D40EF"/>
    <w:rsid w:val="008E0909"/>
    <w:rsid w:val="008F51E9"/>
    <w:rsid w:val="00904284"/>
    <w:rsid w:val="0090627E"/>
    <w:rsid w:val="00914AA3"/>
    <w:rsid w:val="009426B6"/>
    <w:rsid w:val="009610C5"/>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C1306"/>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2195"/>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365CE"/>
    <w:rsid w:val="00E528ED"/>
    <w:rsid w:val="00EA2BED"/>
    <w:rsid w:val="00EF393E"/>
    <w:rsid w:val="00EF682B"/>
    <w:rsid w:val="00EF7E20"/>
    <w:rsid w:val="00F04347"/>
    <w:rsid w:val="00F23F8E"/>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144E4"/>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11300">
      <w:bodyDiv w:val="1"/>
      <w:marLeft w:val="0"/>
      <w:marRight w:val="0"/>
      <w:marTop w:val="0"/>
      <w:marBottom w:val="0"/>
      <w:divBdr>
        <w:top w:val="none" w:sz="0" w:space="0" w:color="auto"/>
        <w:left w:val="none" w:sz="0" w:space="0" w:color="auto"/>
        <w:bottom w:val="none" w:sz="0" w:space="0" w:color="auto"/>
        <w:right w:val="none" w:sz="0" w:space="0" w:color="auto"/>
      </w:divBdr>
    </w:div>
    <w:div w:id="1210653328">
      <w:bodyDiv w:val="1"/>
      <w:marLeft w:val="0"/>
      <w:marRight w:val="0"/>
      <w:marTop w:val="0"/>
      <w:marBottom w:val="0"/>
      <w:divBdr>
        <w:top w:val="none" w:sz="0" w:space="0" w:color="auto"/>
        <w:left w:val="none" w:sz="0" w:space="0" w:color="auto"/>
        <w:bottom w:val="none" w:sz="0" w:space="0" w:color="auto"/>
        <w:right w:val="none" w:sz="0" w:space="0" w:color="auto"/>
      </w:divBdr>
    </w:div>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722-4AC9-496B-9C28-A11EE73C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11</cp:revision>
  <cp:lastPrinted>2012-01-11T17:54:00Z</cp:lastPrinted>
  <dcterms:created xsi:type="dcterms:W3CDTF">2012-02-14T16:02:00Z</dcterms:created>
  <dcterms:modified xsi:type="dcterms:W3CDTF">2022-10-24T17:31:00Z</dcterms:modified>
</cp:coreProperties>
</file>