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CF1CF" w14:textId="73F8D036" w:rsidR="00B61B5C" w:rsidRPr="00C25C3B" w:rsidRDefault="00002BFA" w:rsidP="00A67685">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b/>
          <w:sz w:val="24"/>
          <w:szCs w:val="24"/>
        </w:rPr>
      </w:pPr>
      <w:r>
        <w:t xml:space="preserve"> </w:t>
      </w:r>
      <w:r w:rsidR="00B61B5C" w:rsidRPr="00C25C3B">
        <w:rPr>
          <w:rFonts w:ascii="Arial" w:hAnsi="Arial" w:cs="Arial"/>
          <w:b/>
          <w:sz w:val="24"/>
          <w:szCs w:val="24"/>
        </w:rPr>
        <w:t>Toxins of Biological Origin: Safe Work Practices</w:t>
      </w:r>
    </w:p>
    <w:p w14:paraId="06556CB7" w14:textId="77777777" w:rsidR="00B61B5C" w:rsidRPr="00C25C3B" w:rsidRDefault="00B61B5C" w:rsidP="00B61B5C">
      <w:pPr>
        <w:rPr>
          <w:rFonts w:ascii="Arial" w:hAnsi="Arial" w:cs="Arial"/>
          <w:b/>
        </w:rPr>
      </w:pPr>
      <w:r w:rsidRPr="00C25C3B">
        <w:rPr>
          <w:rFonts w:ascii="Arial" w:hAnsi="Arial" w:cs="Arial"/>
          <w:b/>
        </w:rPr>
        <w:t>I. Introduction</w:t>
      </w:r>
    </w:p>
    <w:p w14:paraId="16386C25" w14:textId="77777777" w:rsidR="00B61B5C" w:rsidRPr="00C25C3B" w:rsidRDefault="00B61B5C" w:rsidP="00A67685">
      <w:pPr>
        <w:pStyle w:val="CM8"/>
        <w:spacing w:line="276" w:lineRule="atLeast"/>
        <w:jc w:val="both"/>
        <w:rPr>
          <w:rFonts w:ascii="Arial" w:hAnsi="Arial" w:cs="Arial"/>
          <w:color w:val="000000"/>
          <w:sz w:val="22"/>
          <w:szCs w:val="22"/>
        </w:rPr>
      </w:pPr>
      <w:r w:rsidRPr="00C25C3B">
        <w:rPr>
          <w:rFonts w:ascii="Arial" w:hAnsi="Arial" w:cs="Arial"/>
          <w:color w:val="000000"/>
          <w:sz w:val="22"/>
          <w:szCs w:val="22"/>
        </w:rPr>
        <w:t xml:space="preserve">Biological toxins are substances produced by certain microorganisms, animals, and plants. Examples of toxins of biological origin include Diphtheria Toxin, Tetrodotoxin, Pertussis Toxin, and </w:t>
      </w:r>
      <w:proofErr w:type="spellStart"/>
      <w:r w:rsidRPr="00C25C3B">
        <w:rPr>
          <w:rFonts w:ascii="Arial" w:hAnsi="Arial" w:cs="Arial"/>
          <w:color w:val="000000"/>
          <w:sz w:val="22"/>
          <w:szCs w:val="22"/>
        </w:rPr>
        <w:t>Botulinium</w:t>
      </w:r>
      <w:proofErr w:type="spellEnd"/>
      <w:r w:rsidRPr="00C25C3B">
        <w:rPr>
          <w:rFonts w:ascii="Arial" w:hAnsi="Arial" w:cs="Arial"/>
          <w:color w:val="000000"/>
          <w:sz w:val="22"/>
          <w:szCs w:val="22"/>
        </w:rPr>
        <w:t xml:space="preserve"> Toxin. Although toxins are derived from biological materials, they do not replicate and are not considered infectious.  However, they may be extremely toxic in very small quantities. Therefore, they should be managed like hazardous chemicals in the workplace and controls should be in place to ensure staff is protected from exposure.  The routes of exposure include inhalation, eye, nose and mucous membrane contact, percutaneous, and skin absorption depending on the diluents used.</w:t>
      </w:r>
    </w:p>
    <w:p w14:paraId="0D997BBF" w14:textId="77777777" w:rsidR="00B61B5C" w:rsidRPr="00C25C3B" w:rsidRDefault="00B61B5C" w:rsidP="00A67685">
      <w:pPr>
        <w:pStyle w:val="CM8"/>
        <w:spacing w:line="276" w:lineRule="atLeast"/>
        <w:jc w:val="both"/>
        <w:rPr>
          <w:rFonts w:ascii="Arial" w:hAnsi="Arial" w:cs="Arial"/>
          <w:color w:val="000000"/>
          <w:sz w:val="22"/>
          <w:szCs w:val="22"/>
        </w:rPr>
      </w:pPr>
    </w:p>
    <w:p w14:paraId="542CF99F" w14:textId="7A25384A" w:rsidR="00B61B5C" w:rsidRPr="00C25C3B" w:rsidRDefault="00B61B5C" w:rsidP="00A67685">
      <w:pPr>
        <w:pStyle w:val="CM8"/>
        <w:spacing w:line="276" w:lineRule="atLeast"/>
        <w:jc w:val="both"/>
        <w:rPr>
          <w:rFonts w:ascii="Arial" w:hAnsi="Arial" w:cs="Arial"/>
          <w:color w:val="000000"/>
          <w:sz w:val="22"/>
          <w:szCs w:val="22"/>
        </w:rPr>
      </w:pPr>
      <w:r w:rsidRPr="00C25C3B">
        <w:rPr>
          <w:rFonts w:ascii="Arial" w:hAnsi="Arial" w:cs="Arial"/>
          <w:sz w:val="22"/>
          <w:szCs w:val="22"/>
        </w:rPr>
        <w:t xml:space="preserve">Work with toxins of biological origin must be included in your laboratory specific Chemical Hygiene Plan. Documented toxin specific hazard training and training on </w:t>
      </w:r>
      <w:r>
        <w:rPr>
          <w:rFonts w:ascii="Arial" w:hAnsi="Arial" w:cs="Arial"/>
          <w:sz w:val="22"/>
          <w:szCs w:val="22"/>
        </w:rPr>
        <w:t>the laboratory specific Safety Procedures</w:t>
      </w:r>
      <w:r w:rsidRPr="00C25C3B">
        <w:rPr>
          <w:rFonts w:ascii="Arial" w:hAnsi="Arial" w:cs="Arial"/>
          <w:sz w:val="22"/>
          <w:szCs w:val="22"/>
        </w:rPr>
        <w:t xml:space="preserve"> </w:t>
      </w:r>
      <w:r>
        <w:rPr>
          <w:rFonts w:ascii="Arial" w:hAnsi="Arial" w:cs="Arial"/>
          <w:sz w:val="22"/>
          <w:szCs w:val="22"/>
        </w:rPr>
        <w:t>(SP)</w:t>
      </w:r>
      <w:r w:rsidRPr="00C25C3B">
        <w:rPr>
          <w:rFonts w:ascii="Arial" w:hAnsi="Arial" w:cs="Arial"/>
          <w:sz w:val="22"/>
          <w:szCs w:val="22"/>
        </w:rPr>
        <w:t xml:space="preserve"> is required for </w:t>
      </w:r>
      <w:bookmarkStart w:id="0" w:name="_GoBack"/>
      <w:bookmarkEnd w:id="0"/>
      <w:r w:rsidRPr="00C25C3B">
        <w:rPr>
          <w:rFonts w:ascii="Arial" w:hAnsi="Arial" w:cs="Arial"/>
          <w:sz w:val="22"/>
          <w:szCs w:val="22"/>
        </w:rPr>
        <w:t xml:space="preserve">all laboratory personnel prior to starting work. </w:t>
      </w:r>
      <w:r w:rsidRPr="00C25C3B">
        <w:rPr>
          <w:rFonts w:ascii="Arial" w:hAnsi="Arial" w:cs="Arial"/>
          <w:color w:val="000000"/>
          <w:sz w:val="22"/>
          <w:szCs w:val="22"/>
        </w:rPr>
        <w:t xml:space="preserve">Some toxins are considered Select Agent toxins by the Centers for Disease Control and Prevention (CDC) and require additional requirements including </w:t>
      </w:r>
      <w:r w:rsidR="00A67685">
        <w:rPr>
          <w:rFonts w:ascii="Arial" w:hAnsi="Arial" w:cs="Arial"/>
          <w:color w:val="000000"/>
          <w:sz w:val="22"/>
          <w:szCs w:val="22"/>
        </w:rPr>
        <w:t>UW Safety</w:t>
      </w:r>
      <w:r w:rsidRPr="00C25C3B">
        <w:rPr>
          <w:rFonts w:ascii="Arial" w:hAnsi="Arial" w:cs="Arial"/>
          <w:color w:val="000000"/>
          <w:sz w:val="22"/>
          <w:szCs w:val="22"/>
        </w:rPr>
        <w:t xml:space="preserve"> registration. </w:t>
      </w:r>
    </w:p>
    <w:p w14:paraId="5C711B2E" w14:textId="77777777" w:rsidR="00B61B5C" w:rsidRPr="00C25C3B" w:rsidRDefault="00B61B5C" w:rsidP="00A67685">
      <w:pPr>
        <w:jc w:val="both"/>
        <w:rPr>
          <w:rFonts w:ascii="Arial" w:hAnsi="Arial" w:cs="Arial"/>
          <w:b/>
        </w:rPr>
      </w:pPr>
    </w:p>
    <w:p w14:paraId="7A2CAC6B" w14:textId="77777777" w:rsidR="00B61B5C" w:rsidRPr="00C25C3B" w:rsidRDefault="00B61B5C" w:rsidP="00A67685">
      <w:pPr>
        <w:jc w:val="both"/>
        <w:rPr>
          <w:rFonts w:ascii="Arial" w:hAnsi="Arial" w:cs="Arial"/>
          <w:b/>
        </w:rPr>
      </w:pPr>
      <w:r w:rsidRPr="00C25C3B">
        <w:rPr>
          <w:rFonts w:ascii="Arial" w:hAnsi="Arial" w:cs="Arial"/>
          <w:b/>
        </w:rPr>
        <w:t>II. LABORATORY PLANNING AND PREPARATION FOR USE</w:t>
      </w:r>
    </w:p>
    <w:p w14:paraId="1EDF769D" w14:textId="2D851B60" w:rsidR="00B61B5C" w:rsidRPr="00C25C3B" w:rsidRDefault="00B61B5C" w:rsidP="00A67685">
      <w:pPr>
        <w:numPr>
          <w:ilvl w:val="0"/>
          <w:numId w:val="28"/>
        </w:numPr>
        <w:spacing w:after="0" w:line="240" w:lineRule="auto"/>
        <w:jc w:val="both"/>
        <w:rPr>
          <w:rFonts w:ascii="Arial" w:hAnsi="Arial" w:cs="Arial"/>
        </w:rPr>
      </w:pPr>
      <w:r w:rsidRPr="00C25C3B">
        <w:rPr>
          <w:rFonts w:ascii="Arial" w:hAnsi="Arial" w:cs="Arial"/>
        </w:rPr>
        <w:t xml:space="preserve">Register your toxin work with the </w:t>
      </w:r>
      <w:r w:rsidR="00A67685">
        <w:rPr>
          <w:rFonts w:ascii="Arial" w:hAnsi="Arial" w:cs="Arial"/>
        </w:rPr>
        <w:t>Research</w:t>
      </w:r>
      <w:r w:rsidRPr="00C25C3B">
        <w:rPr>
          <w:rFonts w:ascii="Arial" w:hAnsi="Arial" w:cs="Arial"/>
        </w:rPr>
        <w:t xml:space="preserve"> Biological Safety officer at </w:t>
      </w:r>
      <w:r>
        <w:rPr>
          <w:rFonts w:ascii="Arial" w:hAnsi="Arial" w:cs="Arial"/>
        </w:rPr>
        <w:t>307-76</w:t>
      </w:r>
      <w:r w:rsidRPr="00C25C3B">
        <w:rPr>
          <w:rFonts w:ascii="Arial" w:hAnsi="Arial" w:cs="Arial"/>
        </w:rPr>
        <w:t xml:space="preserve">6-2723 if working with Select Agent toxins. See the following CDC link for a list of Select Agent toxins. </w:t>
      </w:r>
      <w:hyperlink r:id="rId8" w:history="1">
        <w:r w:rsidRPr="00C25C3B">
          <w:rPr>
            <w:rStyle w:val="Hyperlink"/>
            <w:rFonts w:ascii="Arial" w:hAnsi="Arial" w:cs="Arial"/>
          </w:rPr>
          <w:t>http://www.cdc.gov/od/sap/sap/toxinamt.htm</w:t>
        </w:r>
      </w:hyperlink>
    </w:p>
    <w:p w14:paraId="7DD634AE" w14:textId="77777777" w:rsidR="00B61B5C" w:rsidRPr="00C25C3B" w:rsidRDefault="00B61B5C" w:rsidP="00A67685">
      <w:pPr>
        <w:numPr>
          <w:ilvl w:val="0"/>
          <w:numId w:val="28"/>
        </w:numPr>
        <w:spacing w:after="0" w:line="240" w:lineRule="auto"/>
        <w:jc w:val="both"/>
        <w:rPr>
          <w:rFonts w:ascii="Arial" w:hAnsi="Arial" w:cs="Arial"/>
        </w:rPr>
      </w:pPr>
      <w:r w:rsidRPr="00C25C3B">
        <w:rPr>
          <w:rFonts w:ascii="Arial" w:hAnsi="Arial" w:cs="Arial"/>
        </w:rPr>
        <w:t>Designate a laboratory, work space, and biological safety cabinet or containment for toxin work.</w:t>
      </w:r>
    </w:p>
    <w:p w14:paraId="1DAFFAA3" w14:textId="77777777" w:rsidR="00B61B5C" w:rsidRPr="00C25C3B" w:rsidRDefault="00B61B5C" w:rsidP="00A67685">
      <w:pPr>
        <w:numPr>
          <w:ilvl w:val="0"/>
          <w:numId w:val="28"/>
        </w:numPr>
        <w:spacing w:after="0" w:line="240" w:lineRule="auto"/>
        <w:jc w:val="both"/>
        <w:rPr>
          <w:rFonts w:ascii="Arial" w:hAnsi="Arial" w:cs="Arial"/>
        </w:rPr>
      </w:pPr>
      <w:r w:rsidRPr="00C25C3B">
        <w:rPr>
          <w:rFonts w:ascii="Arial" w:hAnsi="Arial" w:cs="Arial"/>
        </w:rPr>
        <w:t>Prepare a door sign stating “Toxins in Use-Authorized Personnel Only.”</w:t>
      </w:r>
    </w:p>
    <w:p w14:paraId="032F09C6" w14:textId="77777777" w:rsidR="00B61B5C" w:rsidRPr="00C25C3B" w:rsidRDefault="00B61B5C" w:rsidP="00A67685">
      <w:pPr>
        <w:numPr>
          <w:ilvl w:val="0"/>
          <w:numId w:val="28"/>
        </w:numPr>
        <w:spacing w:after="0" w:line="240" w:lineRule="auto"/>
        <w:jc w:val="both"/>
        <w:rPr>
          <w:rFonts w:ascii="Arial" w:hAnsi="Arial" w:cs="Arial"/>
        </w:rPr>
      </w:pPr>
      <w:r w:rsidRPr="00C25C3B">
        <w:rPr>
          <w:rFonts w:ascii="Arial" w:hAnsi="Arial" w:cs="Arial"/>
        </w:rPr>
        <w:t>Purchase pre-diluted toxin and the least quantity possible to accomplish work. Do not purchase toxin in solid or powder form.</w:t>
      </w:r>
    </w:p>
    <w:p w14:paraId="3E969A24" w14:textId="77777777" w:rsidR="00B61B5C" w:rsidRPr="00C25C3B" w:rsidRDefault="00B61B5C" w:rsidP="00A67685">
      <w:pPr>
        <w:numPr>
          <w:ilvl w:val="0"/>
          <w:numId w:val="28"/>
        </w:numPr>
        <w:spacing w:after="0" w:line="240" w:lineRule="auto"/>
        <w:jc w:val="both"/>
        <w:rPr>
          <w:rFonts w:ascii="Arial" w:hAnsi="Arial" w:cs="Arial"/>
        </w:rPr>
      </w:pPr>
      <w:r w:rsidRPr="00C25C3B">
        <w:rPr>
          <w:rFonts w:ascii="Arial" w:hAnsi="Arial" w:cs="Arial"/>
        </w:rPr>
        <w:t>Develop a writ</w:t>
      </w:r>
      <w:r>
        <w:rPr>
          <w:rFonts w:ascii="Arial" w:hAnsi="Arial" w:cs="Arial"/>
        </w:rPr>
        <w:t>ten laboratory specific Safety Procedure</w:t>
      </w:r>
      <w:r w:rsidRPr="00C25C3B">
        <w:rPr>
          <w:rFonts w:ascii="Arial" w:hAnsi="Arial" w:cs="Arial"/>
        </w:rPr>
        <w:t xml:space="preserve"> </w:t>
      </w:r>
      <w:r>
        <w:rPr>
          <w:rFonts w:ascii="Arial" w:hAnsi="Arial" w:cs="Arial"/>
        </w:rPr>
        <w:t>(SP)</w:t>
      </w:r>
      <w:r w:rsidRPr="00C25C3B">
        <w:rPr>
          <w:rFonts w:ascii="Arial" w:hAnsi="Arial" w:cs="Arial"/>
        </w:rPr>
        <w:t>.</w:t>
      </w:r>
    </w:p>
    <w:p w14:paraId="32A42D2D" w14:textId="77777777" w:rsidR="00B61B5C" w:rsidRPr="00C25C3B" w:rsidRDefault="00B61B5C" w:rsidP="00A67685">
      <w:pPr>
        <w:numPr>
          <w:ilvl w:val="0"/>
          <w:numId w:val="28"/>
        </w:numPr>
        <w:spacing w:after="0" w:line="240" w:lineRule="auto"/>
        <w:jc w:val="both"/>
        <w:rPr>
          <w:rFonts w:ascii="Arial" w:hAnsi="Arial" w:cs="Arial"/>
        </w:rPr>
      </w:pPr>
      <w:r w:rsidRPr="00C25C3B">
        <w:rPr>
          <w:rFonts w:ascii="Arial" w:hAnsi="Arial" w:cs="Arial"/>
        </w:rPr>
        <w:t xml:space="preserve">Provide hazardous chemical training and </w:t>
      </w:r>
      <w:r>
        <w:rPr>
          <w:rFonts w:ascii="Arial" w:hAnsi="Arial" w:cs="Arial"/>
        </w:rPr>
        <w:t>SP</w:t>
      </w:r>
      <w:r w:rsidRPr="00C25C3B">
        <w:rPr>
          <w:rFonts w:ascii="Arial" w:hAnsi="Arial" w:cs="Arial"/>
        </w:rPr>
        <w:t xml:space="preserve"> training for personnel who will be working with toxins. </w:t>
      </w:r>
    </w:p>
    <w:p w14:paraId="5F65D683" w14:textId="77777777" w:rsidR="00B61B5C" w:rsidRPr="00C25C3B" w:rsidRDefault="00B61B5C" w:rsidP="00A67685">
      <w:pPr>
        <w:numPr>
          <w:ilvl w:val="0"/>
          <w:numId w:val="28"/>
        </w:numPr>
        <w:spacing w:after="0" w:line="240" w:lineRule="auto"/>
        <w:jc w:val="both"/>
        <w:rPr>
          <w:rFonts w:ascii="Arial" w:hAnsi="Arial" w:cs="Arial"/>
        </w:rPr>
      </w:pPr>
      <w:r w:rsidRPr="00C25C3B">
        <w:rPr>
          <w:rFonts w:ascii="Arial" w:hAnsi="Arial" w:cs="Arial"/>
        </w:rPr>
        <w:t>Ensure the Material Safety Data Sheet is available to staff at all times.</w:t>
      </w:r>
    </w:p>
    <w:p w14:paraId="60E33E26" w14:textId="77777777" w:rsidR="00B61B5C" w:rsidRPr="00C25C3B" w:rsidRDefault="00B61B5C" w:rsidP="00A67685">
      <w:pPr>
        <w:numPr>
          <w:ilvl w:val="0"/>
          <w:numId w:val="28"/>
        </w:numPr>
        <w:spacing w:after="0" w:line="240" w:lineRule="auto"/>
        <w:jc w:val="both"/>
        <w:rPr>
          <w:rFonts w:ascii="Arial" w:hAnsi="Arial" w:cs="Arial"/>
        </w:rPr>
      </w:pPr>
      <w:r w:rsidRPr="00C25C3B">
        <w:rPr>
          <w:rFonts w:ascii="Arial" w:hAnsi="Arial" w:cs="Arial"/>
        </w:rPr>
        <w:t>Ensure supplies for inactivation of toxins are available.</w:t>
      </w:r>
    </w:p>
    <w:p w14:paraId="08D41A7D" w14:textId="77777777" w:rsidR="00B61B5C" w:rsidRPr="00C25C3B" w:rsidRDefault="00B61B5C" w:rsidP="00A67685">
      <w:pPr>
        <w:jc w:val="both"/>
        <w:rPr>
          <w:rFonts w:ascii="Arial" w:hAnsi="Arial" w:cs="Arial"/>
          <w:b/>
        </w:rPr>
      </w:pPr>
    </w:p>
    <w:p w14:paraId="4C08E95A" w14:textId="77777777" w:rsidR="00B61B5C" w:rsidRPr="00C25C3B" w:rsidRDefault="00B61B5C" w:rsidP="00A67685">
      <w:pPr>
        <w:jc w:val="both"/>
        <w:rPr>
          <w:rFonts w:ascii="Arial" w:hAnsi="Arial" w:cs="Arial"/>
          <w:b/>
        </w:rPr>
      </w:pPr>
      <w:r w:rsidRPr="00C25C3B">
        <w:rPr>
          <w:rFonts w:ascii="Arial" w:hAnsi="Arial" w:cs="Arial"/>
          <w:b/>
        </w:rPr>
        <w:t>III. PERSONAL PROTECTIVE EQUIPMENT (PPE)</w:t>
      </w:r>
    </w:p>
    <w:p w14:paraId="0CED0787" w14:textId="77777777" w:rsidR="00B61B5C" w:rsidRPr="00C25C3B" w:rsidRDefault="00B61B5C" w:rsidP="00A67685">
      <w:pPr>
        <w:numPr>
          <w:ilvl w:val="0"/>
          <w:numId w:val="27"/>
        </w:numPr>
        <w:spacing w:after="0" w:line="240" w:lineRule="auto"/>
        <w:jc w:val="both"/>
        <w:rPr>
          <w:rFonts w:ascii="Arial" w:hAnsi="Arial" w:cs="Arial"/>
        </w:rPr>
      </w:pPr>
      <w:r w:rsidRPr="00C25C3B">
        <w:rPr>
          <w:rFonts w:ascii="Arial" w:hAnsi="Arial" w:cs="Arial"/>
        </w:rPr>
        <w:t>Laboratory coat with long sleeves, smock, apron, or coveralls</w:t>
      </w:r>
    </w:p>
    <w:p w14:paraId="7C4673BF" w14:textId="77777777" w:rsidR="00B61B5C" w:rsidRPr="00C25C3B" w:rsidRDefault="00B61B5C" w:rsidP="00A67685">
      <w:pPr>
        <w:numPr>
          <w:ilvl w:val="0"/>
          <w:numId w:val="27"/>
        </w:numPr>
        <w:spacing w:after="0" w:line="240" w:lineRule="auto"/>
        <w:jc w:val="both"/>
        <w:rPr>
          <w:rFonts w:ascii="Arial" w:hAnsi="Arial" w:cs="Arial"/>
        </w:rPr>
      </w:pPr>
      <w:r w:rsidRPr="00C25C3B">
        <w:rPr>
          <w:rFonts w:ascii="Arial" w:hAnsi="Arial" w:cs="Arial"/>
        </w:rPr>
        <w:t xml:space="preserve">Gloves that are impervious to the toxins as well as the diluent must be used. Double gloving is recommended. Gloves should be changed immediately if contaminated, torn, or punctured. Gloves should be disposed of immediately after removal.  </w:t>
      </w:r>
    </w:p>
    <w:p w14:paraId="35D35EF3" w14:textId="77777777" w:rsidR="00B61B5C" w:rsidRPr="00C25C3B" w:rsidRDefault="00B61B5C" w:rsidP="00A67685">
      <w:pPr>
        <w:numPr>
          <w:ilvl w:val="0"/>
          <w:numId w:val="27"/>
        </w:numPr>
        <w:spacing w:after="0" w:line="240" w:lineRule="auto"/>
        <w:jc w:val="both"/>
        <w:rPr>
          <w:rFonts w:ascii="Arial" w:hAnsi="Arial" w:cs="Arial"/>
        </w:rPr>
      </w:pPr>
      <w:r w:rsidRPr="00C25C3B">
        <w:rPr>
          <w:rFonts w:ascii="Arial" w:hAnsi="Arial" w:cs="Arial"/>
        </w:rPr>
        <w:t>Safety glasses with side shields or goggles</w:t>
      </w:r>
    </w:p>
    <w:p w14:paraId="08EE4DCC" w14:textId="77777777" w:rsidR="00B61B5C" w:rsidRPr="00C25C3B" w:rsidRDefault="00B61B5C" w:rsidP="00A67685">
      <w:pPr>
        <w:numPr>
          <w:ilvl w:val="0"/>
          <w:numId w:val="27"/>
        </w:numPr>
        <w:spacing w:after="0" w:line="240" w:lineRule="auto"/>
        <w:jc w:val="both"/>
        <w:rPr>
          <w:rFonts w:ascii="Arial" w:hAnsi="Arial" w:cs="Arial"/>
        </w:rPr>
      </w:pPr>
      <w:r w:rsidRPr="00C25C3B">
        <w:rPr>
          <w:rFonts w:ascii="Arial" w:hAnsi="Arial" w:cs="Arial"/>
        </w:rPr>
        <w:t>Face protection when splashing/splatter is possible</w:t>
      </w:r>
    </w:p>
    <w:p w14:paraId="392B4375" w14:textId="77777777" w:rsidR="00B61B5C" w:rsidRPr="00C25C3B" w:rsidRDefault="00B61B5C" w:rsidP="00A67685">
      <w:pPr>
        <w:numPr>
          <w:ilvl w:val="0"/>
          <w:numId w:val="27"/>
        </w:numPr>
        <w:spacing w:after="0" w:line="240" w:lineRule="auto"/>
        <w:jc w:val="both"/>
        <w:rPr>
          <w:rFonts w:ascii="Arial" w:hAnsi="Arial" w:cs="Arial"/>
        </w:rPr>
      </w:pPr>
      <w:r w:rsidRPr="00C25C3B">
        <w:rPr>
          <w:rFonts w:ascii="Arial" w:hAnsi="Arial" w:cs="Arial"/>
        </w:rPr>
        <w:t xml:space="preserve">Respiratory protection (requires enrollment in UW’s respirator program) may be required if an airborne hazard is present when work is done outside of an approved containment. </w:t>
      </w:r>
    </w:p>
    <w:p w14:paraId="4BC7A9C2" w14:textId="667801AC" w:rsidR="00B61B5C" w:rsidRDefault="00B61B5C" w:rsidP="00A67685">
      <w:pPr>
        <w:spacing w:after="0" w:line="240" w:lineRule="auto"/>
        <w:ind w:left="720"/>
        <w:jc w:val="both"/>
        <w:rPr>
          <w:rFonts w:ascii="Arial" w:hAnsi="Arial" w:cs="Arial"/>
        </w:rPr>
      </w:pPr>
    </w:p>
    <w:p w14:paraId="24E50E7C" w14:textId="02696D36" w:rsidR="00A67685" w:rsidRDefault="00A67685" w:rsidP="00A67685">
      <w:pPr>
        <w:spacing w:after="0" w:line="240" w:lineRule="auto"/>
        <w:ind w:left="720"/>
        <w:jc w:val="both"/>
        <w:rPr>
          <w:rFonts w:ascii="Arial" w:hAnsi="Arial" w:cs="Arial"/>
        </w:rPr>
      </w:pPr>
    </w:p>
    <w:p w14:paraId="218F7301" w14:textId="77777777" w:rsidR="00A67685" w:rsidRPr="00C25C3B" w:rsidRDefault="00A67685" w:rsidP="00A67685">
      <w:pPr>
        <w:spacing w:after="0" w:line="240" w:lineRule="auto"/>
        <w:ind w:left="720"/>
        <w:jc w:val="both"/>
        <w:rPr>
          <w:rFonts w:ascii="Arial" w:hAnsi="Arial" w:cs="Arial"/>
        </w:rPr>
      </w:pPr>
    </w:p>
    <w:p w14:paraId="45C8518A" w14:textId="77777777" w:rsidR="00B61B5C" w:rsidRPr="00C25C3B" w:rsidRDefault="00B61B5C" w:rsidP="00A67685">
      <w:pPr>
        <w:jc w:val="both"/>
        <w:rPr>
          <w:rFonts w:ascii="Arial" w:hAnsi="Arial" w:cs="Arial"/>
          <w:b/>
        </w:rPr>
      </w:pPr>
      <w:r w:rsidRPr="00C25C3B">
        <w:rPr>
          <w:rFonts w:ascii="Arial" w:hAnsi="Arial" w:cs="Arial"/>
          <w:b/>
        </w:rPr>
        <w:lastRenderedPageBreak/>
        <w:t xml:space="preserve">IV. TOXIN USE (reconstitution, dilution, administration) </w:t>
      </w:r>
    </w:p>
    <w:p w14:paraId="30ED01B6" w14:textId="77777777" w:rsidR="00B61B5C" w:rsidRPr="00C25C3B" w:rsidRDefault="00B61B5C" w:rsidP="00A67685">
      <w:pPr>
        <w:numPr>
          <w:ilvl w:val="0"/>
          <w:numId w:val="30"/>
        </w:numPr>
        <w:spacing w:line="240" w:lineRule="auto"/>
        <w:jc w:val="both"/>
        <w:rPr>
          <w:rFonts w:ascii="Arial" w:hAnsi="Arial" w:cs="Arial"/>
        </w:rPr>
      </w:pPr>
      <w:r w:rsidRPr="00C25C3B">
        <w:rPr>
          <w:rFonts w:ascii="Arial" w:hAnsi="Arial" w:cs="Arial"/>
        </w:rPr>
        <w:t>Post sign on room door when toxins are in use stating “Toxins in Use-Authorized Personnel Only</w:t>
      </w:r>
      <w:r>
        <w:rPr>
          <w:rFonts w:ascii="Arial" w:hAnsi="Arial" w:cs="Arial"/>
        </w:rPr>
        <w:t>”</w:t>
      </w:r>
      <w:r w:rsidRPr="00C25C3B">
        <w:rPr>
          <w:rFonts w:ascii="Arial" w:hAnsi="Arial" w:cs="Arial"/>
        </w:rPr>
        <w:t>.</w:t>
      </w:r>
    </w:p>
    <w:p w14:paraId="0F677026" w14:textId="77777777" w:rsidR="00B61B5C" w:rsidRPr="00C25C3B" w:rsidRDefault="00B61B5C" w:rsidP="00A67685">
      <w:pPr>
        <w:numPr>
          <w:ilvl w:val="0"/>
          <w:numId w:val="30"/>
        </w:numPr>
        <w:spacing w:line="240" w:lineRule="auto"/>
        <w:jc w:val="both"/>
        <w:rPr>
          <w:rFonts w:ascii="Arial" w:hAnsi="Arial" w:cs="Arial"/>
        </w:rPr>
      </w:pPr>
      <w:r w:rsidRPr="00C25C3B">
        <w:rPr>
          <w:rFonts w:ascii="Arial" w:hAnsi="Arial" w:cs="Arial"/>
        </w:rPr>
        <w:t xml:space="preserve">Work with toxins in designated rooms with controlled access and pre-determined bench areas. </w:t>
      </w:r>
    </w:p>
    <w:p w14:paraId="0E460ACB" w14:textId="77777777" w:rsidR="00B61B5C" w:rsidRPr="00C25C3B" w:rsidRDefault="00B61B5C" w:rsidP="00A67685">
      <w:pPr>
        <w:numPr>
          <w:ilvl w:val="0"/>
          <w:numId w:val="30"/>
        </w:numPr>
        <w:spacing w:line="240" w:lineRule="auto"/>
        <w:jc w:val="both"/>
        <w:rPr>
          <w:rFonts w:ascii="Arial" w:hAnsi="Arial" w:cs="Arial"/>
        </w:rPr>
      </w:pPr>
      <w:r w:rsidRPr="00C25C3B">
        <w:rPr>
          <w:rFonts w:ascii="Arial" w:hAnsi="Arial" w:cs="Arial"/>
        </w:rPr>
        <w:t xml:space="preserve">Prepare toxin in a biological safety cabinet (BSC) or other approved containment. </w:t>
      </w:r>
    </w:p>
    <w:p w14:paraId="3018CEEF" w14:textId="1FF24613" w:rsidR="00B61B5C" w:rsidRPr="00C25C3B" w:rsidRDefault="00B61B5C" w:rsidP="00A67685">
      <w:pPr>
        <w:numPr>
          <w:ilvl w:val="0"/>
          <w:numId w:val="30"/>
        </w:numPr>
        <w:spacing w:line="240" w:lineRule="auto"/>
        <w:jc w:val="both"/>
        <w:rPr>
          <w:rFonts w:ascii="Arial" w:hAnsi="Arial" w:cs="Arial"/>
        </w:rPr>
      </w:pPr>
      <w:r w:rsidRPr="00C25C3B">
        <w:rPr>
          <w:rFonts w:ascii="Arial" w:hAnsi="Arial" w:cs="Arial"/>
        </w:rPr>
        <w:t xml:space="preserve">All potentially contaminated disposable items (gloves used in prep) must be placed in a plastic bag (while in the containment) and then in the </w:t>
      </w:r>
      <w:r>
        <w:rPr>
          <w:rFonts w:ascii="Arial" w:hAnsi="Arial" w:cs="Arial"/>
        </w:rPr>
        <w:t xml:space="preserve">chemical waste container for </w:t>
      </w:r>
      <w:r w:rsidR="00A67685">
        <w:rPr>
          <w:rFonts w:ascii="Arial" w:hAnsi="Arial" w:cs="Arial"/>
        </w:rPr>
        <w:t>UW Safety</w:t>
      </w:r>
      <w:r w:rsidRPr="00C25C3B">
        <w:rPr>
          <w:rFonts w:ascii="Arial" w:hAnsi="Arial" w:cs="Arial"/>
        </w:rPr>
        <w:t xml:space="preserve"> pick-up. </w:t>
      </w:r>
    </w:p>
    <w:p w14:paraId="42C781B6" w14:textId="77777777" w:rsidR="00B61B5C" w:rsidRPr="00C25C3B" w:rsidRDefault="00B61B5C" w:rsidP="00A67685">
      <w:pPr>
        <w:numPr>
          <w:ilvl w:val="0"/>
          <w:numId w:val="30"/>
        </w:numPr>
        <w:spacing w:line="240" w:lineRule="auto"/>
        <w:jc w:val="both"/>
        <w:rPr>
          <w:rFonts w:ascii="Arial" w:hAnsi="Arial" w:cs="Arial"/>
        </w:rPr>
      </w:pPr>
      <w:r w:rsidRPr="00C25C3B">
        <w:rPr>
          <w:rFonts w:ascii="Arial" w:hAnsi="Arial" w:cs="Arial"/>
        </w:rPr>
        <w:t>Transport toxins in secondary, sealed, labeled, non-breakable containers.</w:t>
      </w:r>
    </w:p>
    <w:p w14:paraId="7AC8099E" w14:textId="77777777" w:rsidR="00B61B5C" w:rsidRPr="00C25C3B" w:rsidRDefault="00B61B5C" w:rsidP="00A67685">
      <w:pPr>
        <w:numPr>
          <w:ilvl w:val="0"/>
          <w:numId w:val="30"/>
        </w:numPr>
        <w:spacing w:line="240" w:lineRule="auto"/>
        <w:jc w:val="both"/>
        <w:rPr>
          <w:rFonts w:ascii="Arial" w:hAnsi="Arial" w:cs="Arial"/>
        </w:rPr>
      </w:pPr>
      <w:r w:rsidRPr="00C25C3B">
        <w:rPr>
          <w:rFonts w:ascii="Arial" w:hAnsi="Arial" w:cs="Arial"/>
        </w:rPr>
        <w:t>Preparations should be performed over plastic backed absorbent pads.  Dispose of immediately upon contamination.</w:t>
      </w:r>
    </w:p>
    <w:p w14:paraId="6725DED1" w14:textId="77777777" w:rsidR="00B61B5C" w:rsidRPr="00C25C3B" w:rsidRDefault="00B61B5C" w:rsidP="00A67685">
      <w:pPr>
        <w:numPr>
          <w:ilvl w:val="0"/>
          <w:numId w:val="30"/>
        </w:numPr>
        <w:spacing w:line="240" w:lineRule="auto"/>
        <w:jc w:val="both"/>
        <w:rPr>
          <w:rFonts w:ascii="Arial" w:hAnsi="Arial" w:cs="Arial"/>
        </w:rPr>
      </w:pPr>
      <w:r w:rsidRPr="00C25C3B">
        <w:rPr>
          <w:rFonts w:ascii="Arial" w:hAnsi="Arial" w:cs="Arial"/>
        </w:rPr>
        <w:t xml:space="preserve">Utilize safe sharps procedures (i.e. sharps container in the immediate vicinity, </w:t>
      </w:r>
      <w:proofErr w:type="spellStart"/>
      <w:r w:rsidRPr="00C25C3B">
        <w:rPr>
          <w:rFonts w:ascii="Arial" w:hAnsi="Arial" w:cs="Arial"/>
        </w:rPr>
        <w:t>Leurlock</w:t>
      </w:r>
      <w:proofErr w:type="spellEnd"/>
      <w:r w:rsidRPr="00C25C3B">
        <w:rPr>
          <w:rFonts w:ascii="Arial" w:hAnsi="Arial" w:cs="Arial"/>
        </w:rPr>
        <w:t xml:space="preserve"> syringes are recommended).</w:t>
      </w:r>
    </w:p>
    <w:p w14:paraId="32E1F1D6" w14:textId="77777777" w:rsidR="00B61B5C" w:rsidRPr="00C25C3B" w:rsidRDefault="00B61B5C" w:rsidP="00A67685">
      <w:pPr>
        <w:numPr>
          <w:ilvl w:val="0"/>
          <w:numId w:val="30"/>
        </w:numPr>
        <w:spacing w:line="240" w:lineRule="auto"/>
        <w:jc w:val="both"/>
        <w:rPr>
          <w:rFonts w:ascii="Arial" w:hAnsi="Arial" w:cs="Arial"/>
        </w:rPr>
      </w:pPr>
      <w:r w:rsidRPr="00C25C3B">
        <w:rPr>
          <w:rFonts w:ascii="Arial" w:hAnsi="Arial" w:cs="Arial"/>
        </w:rPr>
        <w:t xml:space="preserve">Before containers are removed from the hood, cabinet, or glove box, the exterior of the closed primary container should be decontaminated and placed in a clean secondary container. </w:t>
      </w:r>
    </w:p>
    <w:p w14:paraId="21076687" w14:textId="77777777" w:rsidR="00B61B5C" w:rsidRPr="00C25C3B" w:rsidRDefault="00B61B5C" w:rsidP="00A67685">
      <w:pPr>
        <w:numPr>
          <w:ilvl w:val="0"/>
          <w:numId w:val="30"/>
        </w:numPr>
        <w:spacing w:line="240" w:lineRule="auto"/>
        <w:jc w:val="both"/>
        <w:rPr>
          <w:rFonts w:ascii="Arial" w:hAnsi="Arial" w:cs="Arial"/>
        </w:rPr>
      </w:pPr>
      <w:r w:rsidRPr="00C25C3B">
        <w:rPr>
          <w:rFonts w:ascii="Arial" w:hAnsi="Arial" w:cs="Arial"/>
        </w:rPr>
        <w:t>Toxins should be transported only in labeled, leak/spill-proof secondary containers.</w:t>
      </w:r>
    </w:p>
    <w:p w14:paraId="33F4FCF8" w14:textId="77777777" w:rsidR="00B61B5C" w:rsidRPr="00C25C3B" w:rsidRDefault="00B61B5C" w:rsidP="00A67685">
      <w:pPr>
        <w:numPr>
          <w:ilvl w:val="0"/>
          <w:numId w:val="30"/>
        </w:numPr>
        <w:spacing w:line="240" w:lineRule="auto"/>
        <w:jc w:val="both"/>
        <w:rPr>
          <w:rFonts w:ascii="Arial" w:hAnsi="Arial" w:cs="Arial"/>
        </w:rPr>
      </w:pPr>
      <w:r w:rsidRPr="00C25C3B">
        <w:rPr>
          <w:rFonts w:ascii="Arial" w:hAnsi="Arial" w:cs="Arial"/>
        </w:rPr>
        <w:t>The BSC or approved containment must be cleaned upon completion of tasks.</w:t>
      </w:r>
    </w:p>
    <w:p w14:paraId="58998B36" w14:textId="77777777" w:rsidR="00B61B5C" w:rsidRPr="00C25C3B" w:rsidRDefault="00B61B5C" w:rsidP="00A67685">
      <w:pPr>
        <w:numPr>
          <w:ilvl w:val="0"/>
          <w:numId w:val="30"/>
        </w:numPr>
        <w:spacing w:line="240" w:lineRule="auto"/>
        <w:jc w:val="both"/>
        <w:rPr>
          <w:rFonts w:ascii="Arial" w:hAnsi="Arial" w:cs="Arial"/>
        </w:rPr>
      </w:pPr>
      <w:r w:rsidRPr="00C25C3B">
        <w:rPr>
          <w:rFonts w:ascii="Arial" w:hAnsi="Arial" w:cs="Arial"/>
        </w:rPr>
        <w:t>Animals should be restrained or anesthetized when possible.</w:t>
      </w:r>
    </w:p>
    <w:p w14:paraId="157E7DA6" w14:textId="77777777" w:rsidR="00B61B5C" w:rsidRPr="00C25C3B" w:rsidRDefault="00B61B5C" w:rsidP="00A67685">
      <w:pPr>
        <w:numPr>
          <w:ilvl w:val="0"/>
          <w:numId w:val="30"/>
        </w:numPr>
        <w:spacing w:line="240" w:lineRule="auto"/>
        <w:jc w:val="both"/>
        <w:rPr>
          <w:rFonts w:ascii="Arial" w:hAnsi="Arial" w:cs="Arial"/>
        </w:rPr>
      </w:pPr>
      <w:r w:rsidRPr="00C25C3B">
        <w:rPr>
          <w:rFonts w:ascii="Arial" w:hAnsi="Arial" w:cs="Arial"/>
        </w:rPr>
        <w:t>Wash hands upon completion of tasks.</w:t>
      </w:r>
    </w:p>
    <w:p w14:paraId="30A6F36A" w14:textId="77777777" w:rsidR="00B61B5C" w:rsidRDefault="00B61B5C" w:rsidP="00A67685">
      <w:pPr>
        <w:numPr>
          <w:ilvl w:val="0"/>
          <w:numId w:val="30"/>
        </w:numPr>
        <w:spacing w:line="240" w:lineRule="auto"/>
        <w:jc w:val="both"/>
        <w:rPr>
          <w:rFonts w:ascii="Arial" w:hAnsi="Arial" w:cs="Arial"/>
        </w:rPr>
      </w:pPr>
      <w:r w:rsidRPr="00C25C3B">
        <w:rPr>
          <w:rFonts w:ascii="Arial" w:hAnsi="Arial" w:cs="Arial"/>
        </w:rPr>
        <w:t>Toxins should be stored in a secure location.</w:t>
      </w:r>
    </w:p>
    <w:p w14:paraId="0FD5067F" w14:textId="77777777" w:rsidR="00B61B5C" w:rsidRPr="00B61B5C" w:rsidRDefault="00B61B5C" w:rsidP="00A67685">
      <w:pPr>
        <w:spacing w:line="240" w:lineRule="auto"/>
        <w:ind w:left="720"/>
        <w:jc w:val="both"/>
        <w:rPr>
          <w:rFonts w:ascii="Arial" w:hAnsi="Arial" w:cs="Arial"/>
        </w:rPr>
      </w:pPr>
    </w:p>
    <w:p w14:paraId="7A66F992" w14:textId="6DF40FF0" w:rsidR="00B61B5C" w:rsidRDefault="00B61B5C" w:rsidP="00A67685">
      <w:pPr>
        <w:pStyle w:val="Heading1"/>
        <w:keepNext w:val="0"/>
        <w:keepLines w:val="0"/>
        <w:numPr>
          <w:ilvl w:val="0"/>
          <w:numId w:val="34"/>
        </w:numPr>
        <w:autoSpaceDE w:val="0"/>
        <w:autoSpaceDN w:val="0"/>
        <w:adjustRightInd w:val="0"/>
        <w:spacing w:before="0" w:after="120" w:line="240" w:lineRule="auto"/>
        <w:ind w:left="360" w:hanging="360"/>
        <w:jc w:val="both"/>
        <w:rPr>
          <w:rFonts w:ascii="Arial" w:hAnsi="Arial" w:cs="Arial"/>
          <w:color w:val="auto"/>
          <w:sz w:val="22"/>
          <w:szCs w:val="22"/>
        </w:rPr>
      </w:pPr>
      <w:r w:rsidRPr="00B61B5C">
        <w:rPr>
          <w:rFonts w:ascii="Arial" w:hAnsi="Arial" w:cs="Arial"/>
          <w:color w:val="auto"/>
          <w:sz w:val="22"/>
          <w:szCs w:val="22"/>
        </w:rPr>
        <w:t>CLEANING SPILLS</w:t>
      </w:r>
    </w:p>
    <w:p w14:paraId="5B814229" w14:textId="77777777" w:rsidR="00B61B5C" w:rsidRPr="00B61B5C" w:rsidRDefault="00B61B5C" w:rsidP="00A67685">
      <w:pPr>
        <w:pStyle w:val="Heading1"/>
        <w:keepNext w:val="0"/>
        <w:keepLines w:val="0"/>
        <w:numPr>
          <w:ilvl w:val="0"/>
          <w:numId w:val="31"/>
        </w:numPr>
        <w:autoSpaceDE w:val="0"/>
        <w:autoSpaceDN w:val="0"/>
        <w:adjustRightInd w:val="0"/>
        <w:spacing w:before="0" w:line="240" w:lineRule="auto"/>
        <w:ind w:left="720"/>
        <w:jc w:val="both"/>
        <w:rPr>
          <w:rFonts w:ascii="Arial" w:hAnsi="Arial" w:cs="Arial"/>
          <w:b w:val="0"/>
          <w:color w:val="auto"/>
          <w:sz w:val="22"/>
          <w:szCs w:val="22"/>
        </w:rPr>
      </w:pPr>
      <w:r w:rsidRPr="00B61B5C">
        <w:rPr>
          <w:rFonts w:ascii="Arial" w:hAnsi="Arial" w:cs="Arial"/>
          <w:b w:val="0"/>
          <w:color w:val="auto"/>
          <w:sz w:val="22"/>
          <w:szCs w:val="22"/>
        </w:rPr>
        <w:t xml:space="preserve">Spills must be cleaned immediately by properly protected and trained personnel. </w:t>
      </w:r>
    </w:p>
    <w:p w14:paraId="08D3FCEF" w14:textId="77777777" w:rsidR="00B61B5C" w:rsidRPr="00B61B5C" w:rsidRDefault="00B61B5C" w:rsidP="00A67685">
      <w:pPr>
        <w:pStyle w:val="Default"/>
        <w:jc w:val="both"/>
        <w:rPr>
          <w:color w:val="auto"/>
          <w:sz w:val="22"/>
          <w:szCs w:val="22"/>
        </w:rPr>
      </w:pPr>
    </w:p>
    <w:p w14:paraId="479B0EBA" w14:textId="1A6C15DD" w:rsidR="00B61B5C" w:rsidRPr="00B61B5C" w:rsidRDefault="00B61B5C" w:rsidP="00A67685">
      <w:pPr>
        <w:pStyle w:val="Heading1"/>
        <w:keepNext w:val="0"/>
        <w:keepLines w:val="0"/>
        <w:numPr>
          <w:ilvl w:val="0"/>
          <w:numId w:val="31"/>
        </w:numPr>
        <w:autoSpaceDE w:val="0"/>
        <w:autoSpaceDN w:val="0"/>
        <w:adjustRightInd w:val="0"/>
        <w:spacing w:before="0" w:line="240" w:lineRule="auto"/>
        <w:ind w:left="720"/>
        <w:jc w:val="both"/>
        <w:rPr>
          <w:rFonts w:ascii="Arial" w:hAnsi="Arial" w:cs="Arial"/>
          <w:b w:val="0"/>
          <w:color w:val="auto"/>
          <w:sz w:val="22"/>
          <w:szCs w:val="22"/>
        </w:rPr>
      </w:pPr>
      <w:r w:rsidRPr="00B61B5C">
        <w:rPr>
          <w:rFonts w:ascii="Arial" w:hAnsi="Arial" w:cs="Arial"/>
          <w:b w:val="0"/>
          <w:color w:val="auto"/>
          <w:sz w:val="22"/>
          <w:szCs w:val="22"/>
        </w:rPr>
        <w:t xml:space="preserve">Liquid Spills:  should be cleaned by personnel wearing a gown, goggles, and two pairs of gloves.  Use absorbent pads to wipe liquid.  Place waste in plastic bag and then in the chemical waste container for </w:t>
      </w:r>
      <w:r w:rsidR="00A67685">
        <w:rPr>
          <w:rFonts w:ascii="Arial" w:hAnsi="Arial" w:cs="Arial"/>
          <w:b w:val="0"/>
          <w:color w:val="auto"/>
          <w:sz w:val="22"/>
          <w:szCs w:val="22"/>
        </w:rPr>
        <w:t>UW Safety</w:t>
      </w:r>
      <w:r w:rsidRPr="00B61B5C">
        <w:rPr>
          <w:rFonts w:ascii="Arial" w:hAnsi="Arial" w:cs="Arial"/>
          <w:b w:val="0"/>
          <w:color w:val="auto"/>
          <w:sz w:val="22"/>
          <w:szCs w:val="22"/>
        </w:rPr>
        <w:t xml:space="preserve"> pick-up. The toxin and spill area should then be cleaned appropriately. See toxin inactivation section VII below.</w:t>
      </w:r>
    </w:p>
    <w:p w14:paraId="2290CE5D" w14:textId="77777777" w:rsidR="00B61B5C" w:rsidRPr="00B61B5C" w:rsidRDefault="00B61B5C" w:rsidP="00A67685">
      <w:pPr>
        <w:pStyle w:val="Default"/>
        <w:jc w:val="both"/>
        <w:rPr>
          <w:color w:val="auto"/>
          <w:sz w:val="22"/>
          <w:szCs w:val="22"/>
        </w:rPr>
      </w:pPr>
    </w:p>
    <w:p w14:paraId="284982A1" w14:textId="77777777" w:rsidR="00B61B5C" w:rsidRPr="00B61B5C" w:rsidRDefault="00B61B5C" w:rsidP="00A67685">
      <w:pPr>
        <w:pStyle w:val="Heading1"/>
        <w:keepNext w:val="0"/>
        <w:keepLines w:val="0"/>
        <w:numPr>
          <w:ilvl w:val="0"/>
          <w:numId w:val="31"/>
        </w:numPr>
        <w:autoSpaceDE w:val="0"/>
        <w:autoSpaceDN w:val="0"/>
        <w:adjustRightInd w:val="0"/>
        <w:spacing w:before="0" w:line="240" w:lineRule="auto"/>
        <w:ind w:left="720"/>
        <w:jc w:val="both"/>
        <w:rPr>
          <w:rFonts w:ascii="Arial" w:hAnsi="Arial" w:cs="Arial"/>
          <w:b w:val="0"/>
          <w:color w:val="auto"/>
          <w:sz w:val="22"/>
          <w:szCs w:val="22"/>
        </w:rPr>
      </w:pPr>
      <w:r w:rsidRPr="00B61B5C">
        <w:rPr>
          <w:rFonts w:ascii="Arial" w:hAnsi="Arial" w:cs="Arial"/>
          <w:b w:val="0"/>
          <w:color w:val="auto"/>
          <w:sz w:val="22"/>
          <w:szCs w:val="22"/>
        </w:rPr>
        <w:t>Powder Spills: should be cleaned immediately by personnel wearing a gown, goggles, and two pairs of gloves.  For powder spills outside of a fume hood or approved containment, non-essential personnel should be instructed to leave the laboratory and entrance should be restricted. In addition to the above specified PPE, A respirator (requires enrollment in UW’s respirator program) should also be worn.</w:t>
      </w:r>
    </w:p>
    <w:p w14:paraId="272520D9" w14:textId="77777777" w:rsidR="00B61B5C" w:rsidRPr="00B61B5C" w:rsidRDefault="00B61B5C" w:rsidP="00A67685">
      <w:pPr>
        <w:pStyle w:val="Default"/>
        <w:jc w:val="both"/>
        <w:rPr>
          <w:color w:val="auto"/>
          <w:sz w:val="22"/>
          <w:szCs w:val="22"/>
        </w:rPr>
      </w:pPr>
    </w:p>
    <w:p w14:paraId="5669EDD0" w14:textId="6EA73151" w:rsidR="00B61B5C" w:rsidRPr="00B61B5C" w:rsidRDefault="00B61B5C" w:rsidP="00A67685">
      <w:pPr>
        <w:pStyle w:val="Heading1"/>
        <w:keepNext w:val="0"/>
        <w:keepLines w:val="0"/>
        <w:numPr>
          <w:ilvl w:val="0"/>
          <w:numId w:val="31"/>
        </w:numPr>
        <w:autoSpaceDE w:val="0"/>
        <w:autoSpaceDN w:val="0"/>
        <w:adjustRightInd w:val="0"/>
        <w:spacing w:before="0" w:line="240" w:lineRule="auto"/>
        <w:ind w:left="720"/>
        <w:jc w:val="both"/>
        <w:rPr>
          <w:rFonts w:ascii="Arial" w:hAnsi="Arial" w:cs="Arial"/>
          <w:b w:val="0"/>
          <w:color w:val="auto"/>
          <w:sz w:val="22"/>
          <w:szCs w:val="22"/>
        </w:rPr>
      </w:pPr>
      <w:r w:rsidRPr="00B61B5C">
        <w:rPr>
          <w:rFonts w:ascii="Arial" w:hAnsi="Arial" w:cs="Arial"/>
          <w:b w:val="0"/>
          <w:color w:val="auto"/>
          <w:sz w:val="22"/>
          <w:szCs w:val="22"/>
        </w:rPr>
        <w:lastRenderedPageBreak/>
        <w:t xml:space="preserve">Place waste in plastic bag and then in the chemical waste container for </w:t>
      </w:r>
      <w:r w:rsidR="00A67685">
        <w:rPr>
          <w:rFonts w:ascii="Arial" w:hAnsi="Arial" w:cs="Arial"/>
          <w:b w:val="0"/>
          <w:color w:val="auto"/>
          <w:sz w:val="22"/>
          <w:szCs w:val="22"/>
        </w:rPr>
        <w:t>UW Safety</w:t>
      </w:r>
      <w:r w:rsidRPr="00B61B5C">
        <w:rPr>
          <w:rFonts w:ascii="Arial" w:hAnsi="Arial" w:cs="Arial"/>
          <w:b w:val="0"/>
          <w:color w:val="auto"/>
          <w:sz w:val="22"/>
          <w:szCs w:val="22"/>
        </w:rPr>
        <w:t xml:space="preserve"> pick-up. The toxin and spill area should then be cleaned appropriately. See toxin inactivation section VII below.</w:t>
      </w:r>
    </w:p>
    <w:p w14:paraId="38D51B41" w14:textId="77777777" w:rsidR="00B61B5C" w:rsidRPr="00B61B5C" w:rsidRDefault="00B61B5C" w:rsidP="00A67685">
      <w:pPr>
        <w:pStyle w:val="Default"/>
        <w:jc w:val="both"/>
        <w:rPr>
          <w:color w:val="auto"/>
          <w:sz w:val="22"/>
          <w:szCs w:val="22"/>
        </w:rPr>
      </w:pPr>
    </w:p>
    <w:p w14:paraId="62836C85" w14:textId="11AA4ADB" w:rsidR="00B61B5C" w:rsidRPr="00B61B5C" w:rsidRDefault="00B61B5C" w:rsidP="00A67685">
      <w:pPr>
        <w:spacing w:after="0" w:line="240" w:lineRule="auto"/>
        <w:ind w:left="720"/>
        <w:jc w:val="both"/>
        <w:rPr>
          <w:rFonts w:ascii="Arial" w:hAnsi="Arial" w:cs="Arial"/>
        </w:rPr>
      </w:pPr>
      <w:r w:rsidRPr="00B61B5C">
        <w:rPr>
          <w:rFonts w:ascii="Arial" w:hAnsi="Arial" w:cs="Arial"/>
        </w:rPr>
        <w:t xml:space="preserve">For questions on approaching a spill clean-up, contact the </w:t>
      </w:r>
      <w:r w:rsidR="00A67685">
        <w:rPr>
          <w:rFonts w:ascii="Arial" w:hAnsi="Arial" w:cs="Arial"/>
        </w:rPr>
        <w:t>UW Safety -</w:t>
      </w:r>
      <w:r w:rsidRPr="00B61B5C">
        <w:rPr>
          <w:rFonts w:ascii="Arial" w:hAnsi="Arial" w:cs="Arial"/>
        </w:rPr>
        <w:t xml:space="preserve"> RMMC at 307-766-3698 for guidance.</w:t>
      </w:r>
    </w:p>
    <w:p w14:paraId="66E71756" w14:textId="77777777" w:rsidR="00B61B5C" w:rsidRPr="00B61B5C" w:rsidRDefault="00B61B5C" w:rsidP="00A67685">
      <w:pPr>
        <w:jc w:val="both"/>
        <w:rPr>
          <w:rFonts w:ascii="Arial" w:hAnsi="Arial" w:cs="Arial"/>
        </w:rPr>
      </w:pPr>
    </w:p>
    <w:p w14:paraId="4A772318" w14:textId="77777777" w:rsidR="00B61B5C" w:rsidRDefault="00B61B5C" w:rsidP="00A67685">
      <w:pPr>
        <w:pStyle w:val="Heading1"/>
        <w:keepNext w:val="0"/>
        <w:keepLines w:val="0"/>
        <w:numPr>
          <w:ilvl w:val="0"/>
          <w:numId w:val="34"/>
        </w:numPr>
        <w:tabs>
          <w:tab w:val="num" w:pos="360"/>
        </w:tabs>
        <w:autoSpaceDE w:val="0"/>
        <w:autoSpaceDN w:val="0"/>
        <w:adjustRightInd w:val="0"/>
        <w:spacing w:before="0" w:line="240" w:lineRule="auto"/>
        <w:ind w:left="360" w:hanging="360"/>
        <w:jc w:val="both"/>
        <w:rPr>
          <w:rFonts w:ascii="Arial" w:hAnsi="Arial" w:cs="Arial"/>
          <w:color w:val="auto"/>
          <w:sz w:val="20"/>
          <w:szCs w:val="20"/>
        </w:rPr>
      </w:pPr>
      <w:r w:rsidRPr="00B61B5C">
        <w:rPr>
          <w:rFonts w:ascii="Arial" w:hAnsi="Arial" w:cs="Arial"/>
          <w:color w:val="auto"/>
          <w:sz w:val="20"/>
          <w:szCs w:val="20"/>
        </w:rPr>
        <w:tab/>
        <w:t xml:space="preserve">ACUTE EXPOSURE </w:t>
      </w:r>
    </w:p>
    <w:p w14:paraId="578A3C4A" w14:textId="77777777" w:rsidR="00B61B5C" w:rsidRPr="00B61B5C" w:rsidRDefault="00B61B5C" w:rsidP="00A67685">
      <w:pPr>
        <w:jc w:val="both"/>
      </w:pPr>
    </w:p>
    <w:p w14:paraId="6D37C44A" w14:textId="77777777" w:rsidR="00B61B5C" w:rsidRPr="00B61B5C" w:rsidRDefault="00B61B5C" w:rsidP="00A67685">
      <w:pPr>
        <w:pStyle w:val="Heading1"/>
        <w:keepNext w:val="0"/>
        <w:keepLines w:val="0"/>
        <w:numPr>
          <w:ilvl w:val="0"/>
          <w:numId w:val="32"/>
        </w:numPr>
        <w:autoSpaceDE w:val="0"/>
        <w:autoSpaceDN w:val="0"/>
        <w:adjustRightInd w:val="0"/>
        <w:spacing w:before="0" w:line="240" w:lineRule="auto"/>
        <w:jc w:val="both"/>
        <w:rPr>
          <w:rFonts w:ascii="Arial" w:hAnsi="Arial" w:cs="Arial"/>
          <w:b w:val="0"/>
          <w:color w:val="auto"/>
          <w:sz w:val="22"/>
          <w:szCs w:val="22"/>
        </w:rPr>
      </w:pPr>
      <w:r w:rsidRPr="00B61B5C">
        <w:rPr>
          <w:rFonts w:ascii="Arial" w:hAnsi="Arial" w:cs="Arial"/>
          <w:b w:val="0"/>
          <w:color w:val="auto"/>
          <w:sz w:val="22"/>
          <w:szCs w:val="22"/>
        </w:rPr>
        <w:t>In case of skin contact or needlestick, wash the affected area with soap and water as soon as possible for at least 15 minutes.</w:t>
      </w:r>
    </w:p>
    <w:p w14:paraId="0F7229D2" w14:textId="77777777" w:rsidR="00B61B5C" w:rsidRPr="00B61B5C" w:rsidRDefault="00B61B5C" w:rsidP="00A67685">
      <w:pPr>
        <w:pStyle w:val="Heading1"/>
        <w:keepNext w:val="0"/>
        <w:keepLines w:val="0"/>
        <w:numPr>
          <w:ilvl w:val="0"/>
          <w:numId w:val="32"/>
        </w:numPr>
        <w:autoSpaceDE w:val="0"/>
        <w:autoSpaceDN w:val="0"/>
        <w:adjustRightInd w:val="0"/>
        <w:spacing w:before="0" w:line="240" w:lineRule="auto"/>
        <w:jc w:val="both"/>
        <w:rPr>
          <w:rFonts w:ascii="Arial" w:hAnsi="Arial" w:cs="Arial"/>
          <w:b w:val="0"/>
          <w:color w:val="auto"/>
          <w:sz w:val="22"/>
          <w:szCs w:val="22"/>
        </w:rPr>
      </w:pPr>
      <w:r w:rsidRPr="00B61B5C">
        <w:rPr>
          <w:rFonts w:ascii="Arial" w:hAnsi="Arial" w:cs="Arial"/>
          <w:b w:val="0"/>
          <w:color w:val="auto"/>
          <w:sz w:val="22"/>
          <w:szCs w:val="22"/>
        </w:rPr>
        <w:t>For eye exposure, flush with water for at least 15 minutes.  Then go to the Ivinson Memorial Hospital Emergency Department.</w:t>
      </w:r>
    </w:p>
    <w:p w14:paraId="094DF791" w14:textId="77777777" w:rsidR="00B61B5C" w:rsidRPr="00B61B5C" w:rsidRDefault="00B61B5C" w:rsidP="00A67685">
      <w:pPr>
        <w:pStyle w:val="Heading1"/>
        <w:keepNext w:val="0"/>
        <w:keepLines w:val="0"/>
        <w:numPr>
          <w:ilvl w:val="0"/>
          <w:numId w:val="32"/>
        </w:numPr>
        <w:autoSpaceDE w:val="0"/>
        <w:autoSpaceDN w:val="0"/>
        <w:adjustRightInd w:val="0"/>
        <w:spacing w:before="0" w:line="240" w:lineRule="auto"/>
        <w:jc w:val="both"/>
        <w:rPr>
          <w:rFonts w:ascii="Arial" w:hAnsi="Arial" w:cs="Arial"/>
          <w:b w:val="0"/>
          <w:color w:val="auto"/>
          <w:sz w:val="22"/>
          <w:szCs w:val="22"/>
        </w:rPr>
      </w:pPr>
      <w:r w:rsidRPr="00B61B5C">
        <w:rPr>
          <w:rFonts w:ascii="Arial" w:hAnsi="Arial" w:cs="Arial"/>
          <w:b w:val="0"/>
          <w:color w:val="auto"/>
          <w:sz w:val="22"/>
          <w:szCs w:val="22"/>
        </w:rPr>
        <w:t>Report incident to supervisor. Supervisor reports the accident/injury to UW Human Resources.</w:t>
      </w:r>
    </w:p>
    <w:p w14:paraId="0F1F32E5" w14:textId="77777777" w:rsidR="00B61B5C" w:rsidRPr="00B61B5C" w:rsidRDefault="00B61B5C" w:rsidP="00A67685">
      <w:pPr>
        <w:spacing w:after="0" w:line="240" w:lineRule="auto"/>
        <w:ind w:left="720"/>
        <w:jc w:val="both"/>
        <w:rPr>
          <w:rFonts w:ascii="Arial" w:hAnsi="Arial" w:cs="Arial"/>
          <w:sz w:val="20"/>
          <w:szCs w:val="20"/>
        </w:rPr>
      </w:pPr>
    </w:p>
    <w:p w14:paraId="3AF03E07" w14:textId="77777777" w:rsidR="00B61B5C" w:rsidRPr="00B61B5C" w:rsidRDefault="00B61B5C" w:rsidP="00A67685">
      <w:pPr>
        <w:tabs>
          <w:tab w:val="left" w:pos="360"/>
        </w:tabs>
        <w:ind w:left="360" w:hanging="360"/>
        <w:jc w:val="both"/>
        <w:rPr>
          <w:rFonts w:ascii="Arial" w:hAnsi="Arial" w:cs="Arial"/>
          <w:b/>
          <w:sz w:val="20"/>
          <w:szCs w:val="20"/>
        </w:rPr>
      </w:pPr>
      <w:r w:rsidRPr="00B61B5C">
        <w:rPr>
          <w:rFonts w:ascii="Arial" w:hAnsi="Arial" w:cs="Arial"/>
          <w:b/>
          <w:sz w:val="20"/>
          <w:szCs w:val="20"/>
        </w:rPr>
        <w:t xml:space="preserve">VII. </w:t>
      </w:r>
      <w:r>
        <w:rPr>
          <w:rFonts w:ascii="Arial" w:hAnsi="Arial" w:cs="Arial"/>
          <w:b/>
          <w:sz w:val="20"/>
          <w:szCs w:val="20"/>
        </w:rPr>
        <w:tab/>
      </w:r>
      <w:r>
        <w:rPr>
          <w:rFonts w:ascii="Arial" w:hAnsi="Arial" w:cs="Arial"/>
          <w:b/>
          <w:sz w:val="20"/>
          <w:szCs w:val="20"/>
        </w:rPr>
        <w:tab/>
      </w:r>
      <w:r w:rsidRPr="00B61B5C">
        <w:rPr>
          <w:rFonts w:ascii="Arial" w:hAnsi="Arial" w:cs="Arial"/>
          <w:b/>
          <w:sz w:val="20"/>
          <w:szCs w:val="20"/>
        </w:rPr>
        <w:t>INACTIVATION AND DISPOSAL</w:t>
      </w:r>
    </w:p>
    <w:p w14:paraId="2D886D48" w14:textId="35AAA591" w:rsidR="00B61B5C" w:rsidRPr="00B61B5C" w:rsidRDefault="00B61B5C" w:rsidP="00A67685">
      <w:pPr>
        <w:numPr>
          <w:ilvl w:val="0"/>
          <w:numId w:val="26"/>
        </w:numPr>
        <w:spacing w:after="0" w:line="240" w:lineRule="auto"/>
        <w:jc w:val="both"/>
        <w:rPr>
          <w:rFonts w:ascii="Arial" w:hAnsi="Arial" w:cs="Arial"/>
          <w:sz w:val="20"/>
          <w:szCs w:val="20"/>
        </w:rPr>
      </w:pPr>
      <w:r w:rsidRPr="00B61B5C">
        <w:rPr>
          <w:rFonts w:ascii="Arial" w:hAnsi="Arial" w:cs="Arial"/>
          <w:sz w:val="20"/>
          <w:szCs w:val="20"/>
        </w:rPr>
        <w:t xml:space="preserve">Any used PPE and spill clean-up debris must be collected by </w:t>
      </w:r>
      <w:r w:rsidR="00A67685">
        <w:rPr>
          <w:rFonts w:ascii="Arial" w:hAnsi="Arial" w:cs="Arial"/>
          <w:sz w:val="20"/>
          <w:szCs w:val="20"/>
        </w:rPr>
        <w:t>UW Safety</w:t>
      </w:r>
      <w:r w:rsidRPr="00B61B5C">
        <w:rPr>
          <w:rFonts w:ascii="Arial" w:hAnsi="Arial" w:cs="Arial"/>
          <w:sz w:val="20"/>
          <w:szCs w:val="20"/>
        </w:rPr>
        <w:t xml:space="preserve"> for disposal.</w:t>
      </w:r>
    </w:p>
    <w:p w14:paraId="65D53BB8" w14:textId="77777777" w:rsidR="00B61B5C" w:rsidRPr="00B61B5C" w:rsidRDefault="00B61B5C" w:rsidP="00A67685">
      <w:pPr>
        <w:spacing w:after="0" w:line="240" w:lineRule="auto"/>
        <w:ind w:left="720"/>
        <w:jc w:val="both"/>
        <w:rPr>
          <w:rFonts w:ascii="Arial" w:hAnsi="Arial" w:cs="Arial"/>
          <w:sz w:val="20"/>
          <w:szCs w:val="20"/>
        </w:rPr>
      </w:pPr>
      <w:r w:rsidRPr="00B61B5C">
        <w:rPr>
          <w:rFonts w:ascii="Arial" w:hAnsi="Arial" w:cs="Arial"/>
          <w:sz w:val="20"/>
          <w:szCs w:val="20"/>
        </w:rPr>
        <w:t xml:space="preserve"> </w:t>
      </w:r>
    </w:p>
    <w:p w14:paraId="4060F682" w14:textId="51AB652D" w:rsidR="00B61B5C" w:rsidRPr="00B61B5C" w:rsidRDefault="00B61B5C" w:rsidP="00A67685">
      <w:pPr>
        <w:numPr>
          <w:ilvl w:val="0"/>
          <w:numId w:val="26"/>
        </w:numPr>
        <w:spacing w:after="0" w:line="240" w:lineRule="auto"/>
        <w:jc w:val="both"/>
        <w:rPr>
          <w:rFonts w:ascii="Arial" w:hAnsi="Arial" w:cs="Arial"/>
          <w:sz w:val="20"/>
          <w:szCs w:val="20"/>
        </w:rPr>
      </w:pPr>
      <w:r w:rsidRPr="00B61B5C">
        <w:rPr>
          <w:rFonts w:ascii="Arial" w:hAnsi="Arial" w:cs="Arial"/>
          <w:sz w:val="20"/>
          <w:szCs w:val="20"/>
        </w:rPr>
        <w:t xml:space="preserve">For mixed waste (i.e. toxin waste mixed radioactive waste) consult with </w:t>
      </w:r>
      <w:r w:rsidR="00A67685">
        <w:rPr>
          <w:rFonts w:ascii="Arial" w:hAnsi="Arial" w:cs="Arial"/>
          <w:sz w:val="20"/>
          <w:szCs w:val="20"/>
        </w:rPr>
        <w:t>UW Safety -</w:t>
      </w:r>
      <w:r w:rsidRPr="00B61B5C">
        <w:rPr>
          <w:rFonts w:ascii="Arial" w:hAnsi="Arial" w:cs="Arial"/>
          <w:sz w:val="20"/>
          <w:szCs w:val="20"/>
        </w:rPr>
        <w:t xml:space="preserve"> RMMC at 6-3698 for disposal instructions.</w:t>
      </w:r>
    </w:p>
    <w:p w14:paraId="62DDABF2" w14:textId="77777777" w:rsidR="00B61B5C" w:rsidRPr="00B61B5C" w:rsidRDefault="00B61B5C" w:rsidP="00A67685">
      <w:pPr>
        <w:spacing w:after="0" w:line="240" w:lineRule="auto"/>
        <w:ind w:left="720"/>
        <w:jc w:val="both"/>
        <w:rPr>
          <w:rFonts w:ascii="Arial" w:hAnsi="Arial" w:cs="Arial"/>
          <w:sz w:val="20"/>
          <w:szCs w:val="20"/>
        </w:rPr>
      </w:pPr>
    </w:p>
    <w:p w14:paraId="6D1A5122" w14:textId="1E0B63CE" w:rsidR="00B61B5C" w:rsidRPr="00B61B5C" w:rsidRDefault="00B61B5C" w:rsidP="00A67685">
      <w:pPr>
        <w:numPr>
          <w:ilvl w:val="0"/>
          <w:numId w:val="26"/>
        </w:numPr>
        <w:spacing w:after="0" w:line="240" w:lineRule="auto"/>
        <w:jc w:val="both"/>
        <w:rPr>
          <w:rFonts w:ascii="Arial" w:hAnsi="Arial" w:cs="Arial"/>
          <w:sz w:val="20"/>
          <w:szCs w:val="20"/>
        </w:rPr>
      </w:pPr>
      <w:r w:rsidRPr="00B61B5C">
        <w:rPr>
          <w:rFonts w:ascii="Arial" w:hAnsi="Arial" w:cs="Arial"/>
          <w:sz w:val="20"/>
          <w:szCs w:val="20"/>
        </w:rPr>
        <w:t xml:space="preserve">For waste pick-up, complete waste pick-up request form located at </w:t>
      </w:r>
      <w:hyperlink r:id="rId9" w:history="1">
        <w:r w:rsidR="00A67685" w:rsidRPr="004C7D44">
          <w:rPr>
            <w:rStyle w:val="Hyperlink"/>
            <w:rFonts w:ascii="Arial" w:hAnsi="Arial" w:cs="Arial"/>
            <w:sz w:val="20"/>
            <w:szCs w:val="20"/>
          </w:rPr>
          <w:t>http://www.uwyo.edu/safety</w:t>
        </w:r>
      </w:hyperlink>
    </w:p>
    <w:p w14:paraId="25A7669C" w14:textId="77777777" w:rsidR="00B61B5C" w:rsidRPr="00B61B5C" w:rsidRDefault="00B61B5C" w:rsidP="00A67685">
      <w:pPr>
        <w:spacing w:after="0" w:line="240" w:lineRule="auto"/>
        <w:ind w:left="720"/>
        <w:jc w:val="both"/>
        <w:rPr>
          <w:rFonts w:ascii="Arial" w:hAnsi="Arial" w:cs="Arial"/>
          <w:sz w:val="20"/>
          <w:szCs w:val="20"/>
        </w:rPr>
      </w:pPr>
      <w:r w:rsidRPr="00B61B5C">
        <w:rPr>
          <w:rFonts w:ascii="Arial" w:hAnsi="Arial" w:cs="Arial"/>
          <w:sz w:val="20"/>
          <w:szCs w:val="20"/>
        </w:rPr>
        <w:t xml:space="preserve"> </w:t>
      </w:r>
    </w:p>
    <w:p w14:paraId="22183FD2" w14:textId="77777777" w:rsidR="00B61B5C" w:rsidRPr="00B61B5C" w:rsidRDefault="00B61B5C" w:rsidP="00A67685">
      <w:pPr>
        <w:numPr>
          <w:ilvl w:val="0"/>
          <w:numId w:val="26"/>
        </w:numPr>
        <w:spacing w:after="0" w:line="240" w:lineRule="auto"/>
        <w:jc w:val="both"/>
        <w:rPr>
          <w:rFonts w:ascii="Arial" w:hAnsi="Arial" w:cs="Arial"/>
          <w:sz w:val="20"/>
          <w:szCs w:val="20"/>
        </w:rPr>
      </w:pPr>
      <w:r w:rsidRPr="00B61B5C">
        <w:rPr>
          <w:rFonts w:ascii="Arial" w:hAnsi="Arial" w:cs="Arial"/>
          <w:sz w:val="20"/>
          <w:szCs w:val="20"/>
        </w:rPr>
        <w:t xml:space="preserve">The below information on inactivation is from the Biosafety in Microbiological and Biomedical Laboratories (BMBL) 5th Edition. Centers for Disease Control and Prevention. Appendix I: Guidelines for Work with Toxins of Biological Origin. Please note that bleach solutions should be prepared fresh daily. </w:t>
      </w:r>
    </w:p>
    <w:p w14:paraId="17552A44" w14:textId="77777777" w:rsidR="00B61B5C" w:rsidRPr="00B61B5C" w:rsidRDefault="00B61B5C" w:rsidP="00A67685">
      <w:pPr>
        <w:spacing w:after="0" w:line="240" w:lineRule="auto"/>
        <w:ind w:left="720"/>
        <w:jc w:val="both"/>
        <w:rPr>
          <w:rFonts w:ascii="Arial" w:hAnsi="Arial" w:cs="Arial"/>
          <w:sz w:val="20"/>
          <w:szCs w:val="20"/>
        </w:rPr>
      </w:pPr>
    </w:p>
    <w:p w14:paraId="3943376A" w14:textId="77777777" w:rsidR="00B61B5C" w:rsidRPr="00B61B5C" w:rsidRDefault="00B61B5C" w:rsidP="00B61B5C">
      <w:pPr>
        <w:pStyle w:val="Heading1"/>
        <w:spacing w:before="120" w:after="120"/>
        <w:jc w:val="center"/>
        <w:rPr>
          <w:rFonts w:ascii="Arial" w:hAnsi="Arial" w:cs="Arial"/>
          <w:color w:val="auto"/>
          <w:sz w:val="20"/>
          <w:szCs w:val="20"/>
        </w:rPr>
      </w:pPr>
      <w:r w:rsidRPr="00B61B5C">
        <w:rPr>
          <w:rFonts w:ascii="Arial" w:hAnsi="Arial" w:cs="Arial"/>
          <w:color w:val="auto"/>
          <w:sz w:val="20"/>
          <w:szCs w:val="20"/>
        </w:rPr>
        <w:t xml:space="preserve">TABLE 1: </w:t>
      </w:r>
      <w:r w:rsidRPr="00B61B5C">
        <w:rPr>
          <w:rFonts w:ascii="Arial" w:hAnsi="Arial" w:cs="Arial"/>
          <w:caps/>
          <w:color w:val="auto"/>
          <w:sz w:val="20"/>
          <w:szCs w:val="20"/>
        </w:rPr>
        <w:t>Physical Inactivation of Selected Toxins</w:t>
      </w:r>
    </w:p>
    <w:tbl>
      <w:tblPr>
        <w:tblW w:w="0" w:type="auto"/>
        <w:tblBorders>
          <w:top w:val="nil"/>
          <w:left w:val="nil"/>
          <w:bottom w:val="nil"/>
          <w:right w:val="nil"/>
        </w:tblBorders>
        <w:tblLayout w:type="fixed"/>
        <w:tblLook w:val="0000" w:firstRow="0" w:lastRow="0" w:firstColumn="0" w:lastColumn="0" w:noHBand="0" w:noVBand="0"/>
      </w:tblPr>
      <w:tblGrid>
        <w:gridCol w:w="2235"/>
        <w:gridCol w:w="1525"/>
        <w:gridCol w:w="2077"/>
        <w:gridCol w:w="1587"/>
        <w:gridCol w:w="1607"/>
      </w:tblGrid>
      <w:tr w:rsidR="00B61B5C" w:rsidRPr="00B61B5C" w14:paraId="64F1D1C2" w14:textId="77777777" w:rsidTr="008C1EC7">
        <w:trPr>
          <w:trHeight w:val="805"/>
        </w:trPr>
        <w:tc>
          <w:tcPr>
            <w:tcW w:w="2235" w:type="dxa"/>
            <w:tcBorders>
              <w:top w:val="single" w:sz="6" w:space="0" w:color="000000"/>
              <w:left w:val="single" w:sz="4" w:space="0" w:color="000000"/>
              <w:bottom w:val="single" w:sz="4" w:space="0" w:color="000000"/>
              <w:right w:val="single" w:sz="4" w:space="0" w:color="000000"/>
            </w:tcBorders>
          </w:tcPr>
          <w:p w14:paraId="62B1A6A3" w14:textId="77777777" w:rsidR="00B61B5C" w:rsidRPr="00B61B5C" w:rsidRDefault="00B61B5C" w:rsidP="008C1EC7">
            <w:pPr>
              <w:pStyle w:val="Default"/>
              <w:jc w:val="center"/>
              <w:rPr>
                <w:rFonts w:ascii="Arial" w:hAnsi="Arial" w:cs="Arial"/>
                <w:color w:val="auto"/>
                <w:sz w:val="20"/>
                <w:szCs w:val="20"/>
              </w:rPr>
            </w:pPr>
            <w:r w:rsidRPr="00B61B5C">
              <w:rPr>
                <w:rFonts w:ascii="Arial" w:hAnsi="Arial" w:cs="Arial"/>
                <w:b/>
                <w:bCs/>
                <w:color w:val="auto"/>
                <w:sz w:val="20"/>
                <w:szCs w:val="20"/>
              </w:rPr>
              <w:t>TOXIN</w:t>
            </w:r>
          </w:p>
        </w:tc>
        <w:tc>
          <w:tcPr>
            <w:tcW w:w="1525" w:type="dxa"/>
            <w:tcBorders>
              <w:top w:val="single" w:sz="6" w:space="0" w:color="000000"/>
              <w:left w:val="single" w:sz="4" w:space="0" w:color="000000"/>
              <w:bottom w:val="single" w:sz="4" w:space="0" w:color="000000"/>
              <w:right w:val="single" w:sz="4" w:space="0" w:color="000000"/>
            </w:tcBorders>
          </w:tcPr>
          <w:p w14:paraId="54529FD8" w14:textId="77777777" w:rsidR="00B61B5C" w:rsidRPr="00B61B5C" w:rsidRDefault="00B61B5C" w:rsidP="008C1EC7">
            <w:pPr>
              <w:pStyle w:val="Default"/>
              <w:jc w:val="center"/>
              <w:rPr>
                <w:rFonts w:ascii="Arial" w:hAnsi="Arial" w:cs="Arial"/>
                <w:color w:val="auto"/>
                <w:sz w:val="20"/>
                <w:szCs w:val="20"/>
              </w:rPr>
            </w:pPr>
            <w:r w:rsidRPr="00B61B5C">
              <w:rPr>
                <w:rFonts w:ascii="Arial" w:hAnsi="Arial" w:cs="Arial"/>
                <w:b/>
                <w:bCs/>
                <w:color w:val="auto"/>
                <w:sz w:val="20"/>
                <w:szCs w:val="20"/>
              </w:rPr>
              <w:t>STEAM AUTOCLAVE</w:t>
            </w:r>
          </w:p>
        </w:tc>
        <w:tc>
          <w:tcPr>
            <w:tcW w:w="2077" w:type="dxa"/>
            <w:tcBorders>
              <w:top w:val="single" w:sz="6" w:space="0" w:color="000000"/>
              <w:left w:val="single" w:sz="4" w:space="0" w:color="000000"/>
              <w:bottom w:val="single" w:sz="4" w:space="0" w:color="000000"/>
              <w:right w:val="single" w:sz="4" w:space="0" w:color="000000"/>
            </w:tcBorders>
          </w:tcPr>
          <w:p w14:paraId="00CAF924" w14:textId="77777777" w:rsidR="00B61B5C" w:rsidRPr="00B61B5C" w:rsidRDefault="00B61B5C" w:rsidP="008C1EC7">
            <w:pPr>
              <w:pStyle w:val="Default"/>
              <w:jc w:val="center"/>
              <w:rPr>
                <w:rFonts w:ascii="Arial" w:hAnsi="Arial" w:cs="Arial"/>
                <w:color w:val="auto"/>
                <w:sz w:val="20"/>
                <w:szCs w:val="20"/>
              </w:rPr>
            </w:pPr>
            <w:r w:rsidRPr="00B61B5C">
              <w:rPr>
                <w:rFonts w:ascii="Arial" w:hAnsi="Arial" w:cs="Arial"/>
                <w:b/>
                <w:bCs/>
                <w:color w:val="auto"/>
                <w:sz w:val="20"/>
                <w:szCs w:val="20"/>
              </w:rPr>
              <w:t>DRY HEAT (10 MIN)</w:t>
            </w:r>
          </w:p>
        </w:tc>
        <w:tc>
          <w:tcPr>
            <w:tcW w:w="1587" w:type="dxa"/>
            <w:tcBorders>
              <w:top w:val="single" w:sz="6" w:space="0" w:color="000000"/>
              <w:left w:val="single" w:sz="4" w:space="0" w:color="000000"/>
              <w:bottom w:val="single" w:sz="4" w:space="0" w:color="000000"/>
              <w:right w:val="single" w:sz="4" w:space="0" w:color="000000"/>
            </w:tcBorders>
          </w:tcPr>
          <w:p w14:paraId="05C47B20" w14:textId="77777777" w:rsidR="00B61B5C" w:rsidRPr="00B61B5C" w:rsidRDefault="00B61B5C" w:rsidP="008C1EC7">
            <w:pPr>
              <w:pStyle w:val="Default"/>
              <w:jc w:val="center"/>
              <w:rPr>
                <w:rFonts w:ascii="Arial" w:hAnsi="Arial" w:cs="Arial"/>
                <w:color w:val="auto"/>
                <w:sz w:val="20"/>
                <w:szCs w:val="20"/>
              </w:rPr>
            </w:pPr>
            <w:r w:rsidRPr="00B61B5C">
              <w:rPr>
                <w:rFonts w:ascii="Arial" w:hAnsi="Arial" w:cs="Arial"/>
                <w:b/>
                <w:bCs/>
                <w:color w:val="auto"/>
                <w:sz w:val="20"/>
                <w:szCs w:val="20"/>
              </w:rPr>
              <w:t>FREEZE</w:t>
            </w:r>
            <w:r w:rsidRPr="00B61B5C">
              <w:rPr>
                <w:rFonts w:ascii="Arial" w:hAnsi="Arial" w:cs="Arial"/>
                <w:b/>
                <w:bCs/>
                <w:color w:val="auto"/>
                <w:sz w:val="20"/>
                <w:szCs w:val="20"/>
              </w:rPr>
              <w:softHyphen/>
              <w:t>THAW</w:t>
            </w:r>
          </w:p>
        </w:tc>
        <w:tc>
          <w:tcPr>
            <w:tcW w:w="1607" w:type="dxa"/>
            <w:tcBorders>
              <w:top w:val="single" w:sz="6" w:space="0" w:color="000000"/>
              <w:left w:val="single" w:sz="4" w:space="0" w:color="000000"/>
              <w:bottom w:val="single" w:sz="4" w:space="0" w:color="000000"/>
              <w:right w:val="single" w:sz="4" w:space="0" w:color="000000"/>
            </w:tcBorders>
          </w:tcPr>
          <w:p w14:paraId="5DB43212" w14:textId="77777777" w:rsidR="00B61B5C" w:rsidRPr="00B61B5C" w:rsidRDefault="00B61B5C" w:rsidP="008C1EC7">
            <w:pPr>
              <w:pStyle w:val="Default"/>
              <w:jc w:val="center"/>
              <w:rPr>
                <w:rFonts w:ascii="Arial" w:hAnsi="Arial" w:cs="Arial"/>
                <w:color w:val="auto"/>
                <w:sz w:val="20"/>
                <w:szCs w:val="20"/>
              </w:rPr>
            </w:pPr>
            <w:r w:rsidRPr="00B61B5C">
              <w:rPr>
                <w:rFonts w:ascii="Arial" w:hAnsi="Arial" w:cs="Arial"/>
                <w:b/>
                <w:bCs/>
                <w:color w:val="auto"/>
                <w:sz w:val="20"/>
                <w:szCs w:val="20"/>
              </w:rPr>
              <w:t>GAMMA IRRADIATION</w:t>
            </w:r>
          </w:p>
        </w:tc>
      </w:tr>
      <w:tr w:rsidR="00B61B5C" w:rsidRPr="00B61B5C" w14:paraId="0D9D7CDB" w14:textId="77777777" w:rsidTr="008C1EC7">
        <w:trPr>
          <w:trHeight w:val="355"/>
        </w:trPr>
        <w:tc>
          <w:tcPr>
            <w:tcW w:w="2235" w:type="dxa"/>
            <w:tcBorders>
              <w:top w:val="single" w:sz="4" w:space="0" w:color="000000"/>
              <w:left w:val="single" w:sz="4" w:space="0" w:color="000000"/>
              <w:bottom w:val="single" w:sz="4" w:space="0" w:color="000000"/>
              <w:right w:val="single" w:sz="4" w:space="0" w:color="000000"/>
            </w:tcBorders>
          </w:tcPr>
          <w:p w14:paraId="2C08EBAD"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 xml:space="preserve">Botulinum neurotoxin </w:t>
            </w:r>
          </w:p>
        </w:tc>
        <w:tc>
          <w:tcPr>
            <w:tcW w:w="1525" w:type="dxa"/>
            <w:tcBorders>
              <w:top w:val="single" w:sz="4" w:space="0" w:color="000000"/>
              <w:left w:val="single" w:sz="4" w:space="0" w:color="000000"/>
              <w:bottom w:val="single" w:sz="4" w:space="0" w:color="000000"/>
              <w:right w:val="single" w:sz="4" w:space="0" w:color="000000"/>
            </w:tcBorders>
          </w:tcPr>
          <w:p w14:paraId="6D460A69" w14:textId="77777777" w:rsidR="00B61B5C" w:rsidRPr="00B61B5C" w:rsidRDefault="00B61B5C" w:rsidP="008C1EC7">
            <w:pPr>
              <w:pStyle w:val="Default"/>
              <w:rPr>
                <w:rFonts w:ascii="Arial" w:hAnsi="Arial" w:cs="Arial"/>
                <w:color w:val="auto"/>
                <w:sz w:val="20"/>
                <w:szCs w:val="20"/>
              </w:rPr>
            </w:pPr>
            <w:proofErr w:type="spellStart"/>
            <w:r w:rsidRPr="00B61B5C">
              <w:rPr>
                <w:rFonts w:ascii="Arial" w:hAnsi="Arial" w:cs="Arial"/>
                <w:color w:val="auto"/>
                <w:sz w:val="20"/>
                <w:szCs w:val="20"/>
              </w:rPr>
              <w:t>Yes</w:t>
            </w:r>
            <w:r w:rsidRPr="00B61B5C">
              <w:rPr>
                <w:rFonts w:ascii="Arial" w:hAnsi="Arial" w:cs="Arial"/>
                <w:color w:val="auto"/>
                <w:sz w:val="20"/>
                <w:szCs w:val="20"/>
                <w:vertAlign w:val="superscript"/>
              </w:rPr>
              <w:t>a</w:t>
            </w:r>
            <w:proofErr w:type="spellEnd"/>
          </w:p>
        </w:tc>
        <w:tc>
          <w:tcPr>
            <w:tcW w:w="2077" w:type="dxa"/>
            <w:tcBorders>
              <w:top w:val="single" w:sz="4" w:space="0" w:color="000000"/>
              <w:left w:val="single" w:sz="4" w:space="0" w:color="000000"/>
              <w:bottom w:val="single" w:sz="4" w:space="0" w:color="000000"/>
              <w:right w:val="single" w:sz="4" w:space="0" w:color="000000"/>
            </w:tcBorders>
          </w:tcPr>
          <w:p w14:paraId="330A51AF"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&gt; 100ºC</w:t>
            </w:r>
            <w:r w:rsidRPr="00B61B5C">
              <w:rPr>
                <w:rFonts w:ascii="Arial" w:hAnsi="Arial" w:cs="Arial"/>
                <w:color w:val="auto"/>
                <w:sz w:val="20"/>
                <w:szCs w:val="20"/>
                <w:vertAlign w:val="superscript"/>
              </w:rPr>
              <w:t>b</w:t>
            </w:r>
          </w:p>
        </w:tc>
        <w:tc>
          <w:tcPr>
            <w:tcW w:w="1587" w:type="dxa"/>
            <w:tcBorders>
              <w:top w:val="single" w:sz="4" w:space="0" w:color="000000"/>
              <w:left w:val="single" w:sz="4" w:space="0" w:color="000000"/>
              <w:bottom w:val="single" w:sz="4" w:space="0" w:color="000000"/>
              <w:right w:val="single" w:sz="4" w:space="0" w:color="000000"/>
            </w:tcBorders>
          </w:tcPr>
          <w:p w14:paraId="2DEC8403"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 xml:space="preserve"> </w:t>
            </w:r>
            <w:proofErr w:type="spellStart"/>
            <w:r w:rsidRPr="00B61B5C">
              <w:rPr>
                <w:rFonts w:ascii="Arial" w:hAnsi="Arial" w:cs="Arial"/>
                <w:color w:val="auto"/>
                <w:sz w:val="20"/>
                <w:szCs w:val="20"/>
              </w:rPr>
              <w:t>No</w:t>
            </w:r>
            <w:r w:rsidRPr="00B61B5C">
              <w:rPr>
                <w:rFonts w:ascii="Arial" w:hAnsi="Arial" w:cs="Arial"/>
                <w:color w:val="auto"/>
                <w:sz w:val="20"/>
                <w:szCs w:val="20"/>
                <w:vertAlign w:val="superscript"/>
              </w:rPr>
              <w:t>c</w:t>
            </w:r>
            <w:proofErr w:type="spellEnd"/>
          </w:p>
        </w:tc>
        <w:tc>
          <w:tcPr>
            <w:tcW w:w="1607" w:type="dxa"/>
            <w:tcBorders>
              <w:top w:val="single" w:sz="4" w:space="0" w:color="000000"/>
              <w:left w:val="single" w:sz="4" w:space="0" w:color="000000"/>
              <w:bottom w:val="single" w:sz="4" w:space="0" w:color="000000"/>
              <w:right w:val="single" w:sz="4" w:space="0" w:color="000000"/>
            </w:tcBorders>
          </w:tcPr>
          <w:p w14:paraId="65912DF8"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 xml:space="preserve"> </w:t>
            </w:r>
            <w:proofErr w:type="spellStart"/>
            <w:r w:rsidRPr="00B61B5C">
              <w:rPr>
                <w:rFonts w:ascii="Arial" w:hAnsi="Arial" w:cs="Arial"/>
                <w:color w:val="auto"/>
                <w:sz w:val="20"/>
                <w:szCs w:val="20"/>
              </w:rPr>
              <w:t>Incomplete</w:t>
            </w:r>
            <w:r w:rsidRPr="00B61B5C">
              <w:rPr>
                <w:rFonts w:ascii="Arial" w:hAnsi="Arial" w:cs="Arial"/>
                <w:color w:val="auto"/>
                <w:sz w:val="20"/>
                <w:szCs w:val="20"/>
                <w:vertAlign w:val="superscript"/>
              </w:rPr>
              <w:t>d</w:t>
            </w:r>
            <w:proofErr w:type="spellEnd"/>
            <w:r w:rsidRPr="00B61B5C">
              <w:rPr>
                <w:rFonts w:ascii="Arial" w:hAnsi="Arial" w:cs="Arial"/>
                <w:color w:val="auto"/>
                <w:sz w:val="20"/>
                <w:szCs w:val="20"/>
              </w:rPr>
              <w:t xml:space="preserve"> </w:t>
            </w:r>
          </w:p>
        </w:tc>
      </w:tr>
      <w:tr w:rsidR="00B61B5C" w:rsidRPr="00B61B5C" w14:paraId="6BB25D96" w14:textId="77777777" w:rsidTr="008C1EC7">
        <w:trPr>
          <w:trHeight w:val="548"/>
        </w:trPr>
        <w:tc>
          <w:tcPr>
            <w:tcW w:w="2235" w:type="dxa"/>
            <w:tcBorders>
              <w:top w:val="single" w:sz="4" w:space="0" w:color="000000"/>
              <w:left w:val="single" w:sz="4" w:space="0" w:color="000000"/>
              <w:bottom w:val="single" w:sz="4" w:space="0" w:color="000000"/>
              <w:right w:val="single" w:sz="4" w:space="0" w:color="000000"/>
            </w:tcBorders>
          </w:tcPr>
          <w:p w14:paraId="6DCB9767"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 xml:space="preserve">Staphylococcal Enterotoxin </w:t>
            </w:r>
          </w:p>
        </w:tc>
        <w:tc>
          <w:tcPr>
            <w:tcW w:w="1525" w:type="dxa"/>
            <w:tcBorders>
              <w:top w:val="single" w:sz="4" w:space="0" w:color="000000"/>
              <w:left w:val="single" w:sz="4" w:space="0" w:color="000000"/>
              <w:bottom w:val="single" w:sz="4" w:space="0" w:color="000000"/>
              <w:right w:val="single" w:sz="4" w:space="0" w:color="000000"/>
            </w:tcBorders>
          </w:tcPr>
          <w:p w14:paraId="367C2CF3" w14:textId="77777777" w:rsidR="00B61B5C" w:rsidRPr="00B61B5C" w:rsidRDefault="00B61B5C" w:rsidP="008C1EC7">
            <w:pPr>
              <w:pStyle w:val="Default"/>
              <w:rPr>
                <w:rFonts w:ascii="Arial" w:hAnsi="Arial" w:cs="Arial"/>
                <w:color w:val="auto"/>
                <w:sz w:val="20"/>
                <w:szCs w:val="20"/>
              </w:rPr>
            </w:pPr>
            <w:proofErr w:type="spellStart"/>
            <w:r w:rsidRPr="00B61B5C">
              <w:rPr>
                <w:rFonts w:ascii="Arial" w:hAnsi="Arial" w:cs="Arial"/>
                <w:color w:val="auto"/>
                <w:sz w:val="20"/>
                <w:szCs w:val="20"/>
              </w:rPr>
              <w:t>Yes</w:t>
            </w:r>
            <w:r w:rsidRPr="00B61B5C">
              <w:rPr>
                <w:rFonts w:ascii="Arial" w:hAnsi="Arial" w:cs="Arial"/>
                <w:color w:val="auto"/>
                <w:sz w:val="20"/>
                <w:szCs w:val="20"/>
                <w:vertAlign w:val="superscript"/>
              </w:rPr>
              <w:t>e</w:t>
            </w:r>
            <w:proofErr w:type="spellEnd"/>
            <w:r w:rsidRPr="00B61B5C">
              <w:rPr>
                <w:rFonts w:ascii="Arial" w:hAnsi="Arial" w:cs="Arial"/>
                <w:color w:val="auto"/>
                <w:sz w:val="20"/>
                <w:szCs w:val="20"/>
                <w:vertAlign w:val="superscript"/>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54D53AB8"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 xml:space="preserve">&gt; 100ºC; </w:t>
            </w:r>
            <w:proofErr w:type="spellStart"/>
            <w:r w:rsidRPr="00B61B5C">
              <w:rPr>
                <w:rFonts w:ascii="Arial" w:hAnsi="Arial" w:cs="Arial"/>
                <w:color w:val="auto"/>
                <w:sz w:val="20"/>
                <w:szCs w:val="20"/>
              </w:rPr>
              <w:t>refolds</w:t>
            </w:r>
            <w:r w:rsidRPr="00B61B5C">
              <w:rPr>
                <w:rFonts w:ascii="Arial" w:hAnsi="Arial" w:cs="Arial"/>
                <w:color w:val="auto"/>
                <w:sz w:val="20"/>
                <w:szCs w:val="20"/>
                <w:vertAlign w:val="superscript"/>
              </w:rPr>
              <w:t>f</w:t>
            </w:r>
            <w:proofErr w:type="spellEnd"/>
            <w:r w:rsidRPr="00B61B5C">
              <w:rPr>
                <w:rFonts w:ascii="Arial" w:hAnsi="Arial" w:cs="Arial"/>
                <w:color w:val="auto"/>
                <w:sz w:val="20"/>
                <w:szCs w:val="20"/>
                <w:vertAlign w:val="superscript"/>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133A99E3" w14:textId="77777777" w:rsidR="00B61B5C" w:rsidRPr="00B61B5C" w:rsidRDefault="00B61B5C" w:rsidP="008C1EC7">
            <w:pPr>
              <w:pStyle w:val="Default"/>
              <w:rPr>
                <w:rFonts w:ascii="Arial" w:hAnsi="Arial" w:cs="Arial"/>
                <w:color w:val="auto"/>
                <w:sz w:val="20"/>
                <w:szCs w:val="20"/>
              </w:rPr>
            </w:pPr>
            <w:proofErr w:type="spellStart"/>
            <w:r w:rsidRPr="00B61B5C">
              <w:rPr>
                <w:rFonts w:ascii="Arial" w:hAnsi="Arial" w:cs="Arial"/>
                <w:color w:val="auto"/>
                <w:sz w:val="20"/>
                <w:szCs w:val="20"/>
              </w:rPr>
              <w:t>No</w:t>
            </w:r>
            <w:r w:rsidRPr="00B61B5C">
              <w:rPr>
                <w:rFonts w:ascii="Arial" w:hAnsi="Arial" w:cs="Arial"/>
                <w:color w:val="auto"/>
                <w:sz w:val="20"/>
                <w:szCs w:val="20"/>
                <w:vertAlign w:val="superscript"/>
              </w:rPr>
              <w:t>g</w:t>
            </w:r>
            <w:proofErr w:type="spellEnd"/>
            <w:r w:rsidRPr="00B61B5C">
              <w:rPr>
                <w:rFonts w:ascii="Arial" w:hAnsi="Arial" w:cs="Arial"/>
                <w:color w:val="auto"/>
                <w:sz w:val="20"/>
                <w:szCs w:val="20"/>
              </w:rPr>
              <w:t xml:space="preserve"> </w:t>
            </w:r>
          </w:p>
        </w:tc>
        <w:tc>
          <w:tcPr>
            <w:tcW w:w="1607" w:type="dxa"/>
            <w:tcBorders>
              <w:top w:val="single" w:sz="4" w:space="0" w:color="000000"/>
              <w:left w:val="single" w:sz="4" w:space="0" w:color="000000"/>
              <w:bottom w:val="single" w:sz="4" w:space="0" w:color="000000"/>
              <w:right w:val="single" w:sz="4" w:space="0" w:color="000000"/>
            </w:tcBorders>
          </w:tcPr>
          <w:p w14:paraId="4A2E424D"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 xml:space="preserve"> </w:t>
            </w:r>
            <w:proofErr w:type="spellStart"/>
            <w:r w:rsidRPr="00B61B5C">
              <w:rPr>
                <w:rFonts w:ascii="Arial" w:hAnsi="Arial" w:cs="Arial"/>
                <w:color w:val="auto"/>
                <w:sz w:val="20"/>
                <w:szCs w:val="20"/>
              </w:rPr>
              <w:t>Incomplete</w:t>
            </w:r>
            <w:r w:rsidRPr="00B61B5C">
              <w:rPr>
                <w:rFonts w:ascii="Arial" w:hAnsi="Arial" w:cs="Arial"/>
                <w:color w:val="auto"/>
                <w:sz w:val="20"/>
                <w:szCs w:val="20"/>
                <w:vertAlign w:val="superscript"/>
              </w:rPr>
              <w:t>h</w:t>
            </w:r>
            <w:proofErr w:type="spellEnd"/>
            <w:r w:rsidRPr="00B61B5C">
              <w:rPr>
                <w:rFonts w:ascii="Arial" w:hAnsi="Arial" w:cs="Arial"/>
                <w:color w:val="auto"/>
                <w:sz w:val="20"/>
                <w:szCs w:val="20"/>
              </w:rPr>
              <w:t xml:space="preserve"> </w:t>
            </w:r>
          </w:p>
        </w:tc>
      </w:tr>
      <w:tr w:rsidR="00B61B5C" w:rsidRPr="00B61B5C" w14:paraId="2EE9C877" w14:textId="77777777" w:rsidTr="008C1EC7">
        <w:trPr>
          <w:trHeight w:val="355"/>
        </w:trPr>
        <w:tc>
          <w:tcPr>
            <w:tcW w:w="2235" w:type="dxa"/>
            <w:tcBorders>
              <w:top w:val="single" w:sz="4" w:space="0" w:color="000000"/>
              <w:left w:val="single" w:sz="4" w:space="0" w:color="000000"/>
              <w:bottom w:val="single" w:sz="4" w:space="0" w:color="000000"/>
              <w:right w:val="single" w:sz="4" w:space="0" w:color="000000"/>
            </w:tcBorders>
          </w:tcPr>
          <w:p w14:paraId="34BD26A0"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Ricin</w:t>
            </w:r>
          </w:p>
        </w:tc>
        <w:tc>
          <w:tcPr>
            <w:tcW w:w="1525" w:type="dxa"/>
            <w:tcBorders>
              <w:top w:val="single" w:sz="4" w:space="0" w:color="000000"/>
              <w:left w:val="single" w:sz="4" w:space="0" w:color="000000"/>
              <w:bottom w:val="single" w:sz="4" w:space="0" w:color="000000"/>
              <w:right w:val="single" w:sz="4" w:space="0" w:color="000000"/>
            </w:tcBorders>
          </w:tcPr>
          <w:p w14:paraId="577F8797"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 xml:space="preserve"> </w:t>
            </w:r>
            <w:proofErr w:type="spellStart"/>
            <w:r w:rsidRPr="00B61B5C">
              <w:rPr>
                <w:rFonts w:ascii="Arial" w:hAnsi="Arial" w:cs="Arial"/>
                <w:color w:val="auto"/>
                <w:sz w:val="20"/>
                <w:szCs w:val="20"/>
              </w:rPr>
              <w:t>Yes</w:t>
            </w:r>
            <w:r w:rsidRPr="00B61B5C">
              <w:rPr>
                <w:rFonts w:ascii="Arial" w:hAnsi="Arial" w:cs="Arial"/>
                <w:color w:val="auto"/>
                <w:sz w:val="20"/>
                <w:szCs w:val="20"/>
                <w:vertAlign w:val="superscript"/>
              </w:rPr>
              <w:t>i</w:t>
            </w:r>
            <w:proofErr w:type="spellEnd"/>
            <w:r w:rsidRPr="00B61B5C">
              <w:rPr>
                <w:rFonts w:ascii="Arial" w:hAnsi="Arial" w:cs="Arial"/>
                <w:color w:val="auto"/>
                <w:sz w:val="20"/>
                <w:szCs w:val="20"/>
                <w:vertAlign w:val="superscript"/>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52817FED"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&gt; 100ºC</w:t>
            </w:r>
            <w:r w:rsidRPr="00B61B5C">
              <w:rPr>
                <w:rFonts w:ascii="Arial" w:hAnsi="Arial" w:cs="Arial"/>
                <w:color w:val="auto"/>
                <w:sz w:val="20"/>
                <w:szCs w:val="20"/>
                <w:vertAlign w:val="superscript"/>
              </w:rPr>
              <w:t>i</w:t>
            </w:r>
          </w:p>
        </w:tc>
        <w:tc>
          <w:tcPr>
            <w:tcW w:w="1587" w:type="dxa"/>
            <w:tcBorders>
              <w:top w:val="single" w:sz="4" w:space="0" w:color="000000"/>
              <w:left w:val="single" w:sz="4" w:space="0" w:color="000000"/>
              <w:bottom w:val="single" w:sz="4" w:space="0" w:color="000000"/>
              <w:right w:val="single" w:sz="4" w:space="0" w:color="000000"/>
            </w:tcBorders>
          </w:tcPr>
          <w:p w14:paraId="4D15794B"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 xml:space="preserve"> </w:t>
            </w:r>
            <w:proofErr w:type="spellStart"/>
            <w:r w:rsidRPr="00B61B5C">
              <w:rPr>
                <w:rFonts w:ascii="Arial" w:hAnsi="Arial" w:cs="Arial"/>
                <w:color w:val="auto"/>
                <w:sz w:val="20"/>
                <w:szCs w:val="20"/>
              </w:rPr>
              <w:t>No</w:t>
            </w:r>
            <w:r w:rsidRPr="00B61B5C">
              <w:rPr>
                <w:rFonts w:ascii="Arial" w:hAnsi="Arial" w:cs="Arial"/>
                <w:color w:val="auto"/>
                <w:sz w:val="20"/>
                <w:szCs w:val="20"/>
                <w:vertAlign w:val="superscript"/>
              </w:rPr>
              <w:t>j</w:t>
            </w:r>
            <w:proofErr w:type="spellEnd"/>
          </w:p>
        </w:tc>
        <w:tc>
          <w:tcPr>
            <w:tcW w:w="1607" w:type="dxa"/>
            <w:tcBorders>
              <w:top w:val="single" w:sz="4" w:space="0" w:color="000000"/>
              <w:left w:val="single" w:sz="4" w:space="0" w:color="000000"/>
              <w:bottom w:val="single" w:sz="4" w:space="0" w:color="000000"/>
              <w:right w:val="single" w:sz="4" w:space="0" w:color="000000"/>
            </w:tcBorders>
          </w:tcPr>
          <w:p w14:paraId="4BDB160D"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 xml:space="preserve"> </w:t>
            </w:r>
            <w:proofErr w:type="spellStart"/>
            <w:r w:rsidRPr="00B61B5C">
              <w:rPr>
                <w:rFonts w:ascii="Arial" w:hAnsi="Arial" w:cs="Arial"/>
                <w:color w:val="auto"/>
                <w:sz w:val="20"/>
                <w:szCs w:val="20"/>
              </w:rPr>
              <w:t>Incomplete</w:t>
            </w:r>
            <w:r w:rsidRPr="00B61B5C">
              <w:rPr>
                <w:rFonts w:ascii="Arial" w:hAnsi="Arial" w:cs="Arial"/>
                <w:color w:val="auto"/>
                <w:sz w:val="20"/>
                <w:szCs w:val="20"/>
                <w:vertAlign w:val="superscript"/>
              </w:rPr>
              <w:t>k</w:t>
            </w:r>
            <w:proofErr w:type="spellEnd"/>
            <w:r w:rsidRPr="00B61B5C">
              <w:rPr>
                <w:rFonts w:ascii="Arial" w:hAnsi="Arial" w:cs="Arial"/>
                <w:color w:val="auto"/>
                <w:sz w:val="20"/>
                <w:szCs w:val="20"/>
                <w:vertAlign w:val="superscript"/>
              </w:rPr>
              <w:t xml:space="preserve"> </w:t>
            </w:r>
          </w:p>
        </w:tc>
      </w:tr>
      <w:tr w:rsidR="00B61B5C" w:rsidRPr="00B61B5C" w14:paraId="3BC7CBFC" w14:textId="77777777" w:rsidTr="008C1EC7">
        <w:trPr>
          <w:trHeight w:val="352"/>
        </w:trPr>
        <w:tc>
          <w:tcPr>
            <w:tcW w:w="2235" w:type="dxa"/>
            <w:tcBorders>
              <w:top w:val="single" w:sz="4" w:space="0" w:color="000000"/>
              <w:left w:val="single" w:sz="4" w:space="0" w:color="000000"/>
              <w:bottom w:val="single" w:sz="4" w:space="0" w:color="000000"/>
              <w:right w:val="single" w:sz="4" w:space="0" w:color="000000"/>
            </w:tcBorders>
          </w:tcPr>
          <w:p w14:paraId="59BC4B9B"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Microcystin</w:t>
            </w:r>
          </w:p>
        </w:tc>
        <w:tc>
          <w:tcPr>
            <w:tcW w:w="1525" w:type="dxa"/>
            <w:tcBorders>
              <w:top w:val="single" w:sz="4" w:space="0" w:color="000000"/>
              <w:left w:val="single" w:sz="4" w:space="0" w:color="000000"/>
              <w:bottom w:val="single" w:sz="4" w:space="0" w:color="000000"/>
              <w:right w:val="single" w:sz="4" w:space="0" w:color="000000"/>
            </w:tcBorders>
          </w:tcPr>
          <w:p w14:paraId="27AD5300"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 xml:space="preserve"> </w:t>
            </w:r>
            <w:proofErr w:type="spellStart"/>
            <w:r w:rsidRPr="00B61B5C">
              <w:rPr>
                <w:rFonts w:ascii="Arial" w:hAnsi="Arial" w:cs="Arial"/>
                <w:color w:val="auto"/>
                <w:sz w:val="20"/>
                <w:szCs w:val="20"/>
              </w:rPr>
              <w:t>No</w:t>
            </w:r>
            <w:r w:rsidRPr="00B61B5C">
              <w:rPr>
                <w:rFonts w:ascii="Arial" w:hAnsi="Arial" w:cs="Arial"/>
                <w:color w:val="auto"/>
                <w:sz w:val="20"/>
                <w:szCs w:val="20"/>
                <w:vertAlign w:val="superscript"/>
              </w:rPr>
              <w:t>l</w:t>
            </w:r>
            <w:proofErr w:type="spellEnd"/>
            <w:r w:rsidRPr="00B61B5C">
              <w:rPr>
                <w:rFonts w:ascii="Arial" w:hAnsi="Arial" w:cs="Arial"/>
                <w:color w:val="auto"/>
                <w:sz w:val="20"/>
                <w:szCs w:val="20"/>
                <w:vertAlign w:val="superscript"/>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3F55EABC"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&gt; 260ºC</w:t>
            </w:r>
            <w:r w:rsidRPr="00B61B5C">
              <w:rPr>
                <w:rFonts w:ascii="Arial" w:hAnsi="Arial" w:cs="Arial"/>
                <w:color w:val="auto"/>
                <w:sz w:val="20"/>
                <w:szCs w:val="20"/>
                <w:vertAlign w:val="superscript"/>
              </w:rPr>
              <w:t xml:space="preserve">m </w:t>
            </w:r>
          </w:p>
        </w:tc>
        <w:tc>
          <w:tcPr>
            <w:tcW w:w="1587" w:type="dxa"/>
            <w:tcBorders>
              <w:top w:val="single" w:sz="4" w:space="0" w:color="000000"/>
              <w:left w:val="single" w:sz="4" w:space="0" w:color="000000"/>
              <w:bottom w:val="single" w:sz="4" w:space="0" w:color="000000"/>
              <w:right w:val="single" w:sz="4" w:space="0" w:color="000000"/>
            </w:tcBorders>
          </w:tcPr>
          <w:p w14:paraId="5E1B0FED"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No</w:t>
            </w:r>
            <w:r w:rsidRPr="00B61B5C">
              <w:rPr>
                <w:rFonts w:ascii="Arial" w:hAnsi="Arial" w:cs="Arial"/>
                <w:color w:val="auto"/>
                <w:sz w:val="20"/>
                <w:szCs w:val="20"/>
                <w:vertAlign w:val="superscript"/>
              </w:rPr>
              <w:t>n</w:t>
            </w:r>
          </w:p>
        </w:tc>
        <w:tc>
          <w:tcPr>
            <w:tcW w:w="1607" w:type="dxa"/>
            <w:tcBorders>
              <w:top w:val="single" w:sz="4" w:space="0" w:color="000000"/>
              <w:left w:val="single" w:sz="4" w:space="0" w:color="000000"/>
              <w:bottom w:val="single" w:sz="4" w:space="0" w:color="000000"/>
              <w:right w:val="single" w:sz="4" w:space="0" w:color="000000"/>
            </w:tcBorders>
          </w:tcPr>
          <w:p w14:paraId="4F3EEAF0"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 xml:space="preserve"> ND </w:t>
            </w:r>
          </w:p>
        </w:tc>
      </w:tr>
      <w:tr w:rsidR="00B61B5C" w:rsidRPr="00B61B5C" w14:paraId="661D15B0" w14:textId="77777777" w:rsidTr="008C1EC7">
        <w:trPr>
          <w:trHeight w:val="355"/>
        </w:trPr>
        <w:tc>
          <w:tcPr>
            <w:tcW w:w="2235" w:type="dxa"/>
            <w:tcBorders>
              <w:top w:val="single" w:sz="4" w:space="0" w:color="000000"/>
              <w:left w:val="single" w:sz="4" w:space="0" w:color="000000"/>
              <w:bottom w:val="single" w:sz="4" w:space="0" w:color="000000"/>
              <w:right w:val="single" w:sz="4" w:space="0" w:color="000000"/>
            </w:tcBorders>
          </w:tcPr>
          <w:p w14:paraId="7AE9515E"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 xml:space="preserve">Saxitoxin </w:t>
            </w:r>
          </w:p>
        </w:tc>
        <w:tc>
          <w:tcPr>
            <w:tcW w:w="1525" w:type="dxa"/>
            <w:tcBorders>
              <w:top w:val="single" w:sz="4" w:space="0" w:color="000000"/>
              <w:left w:val="single" w:sz="4" w:space="0" w:color="000000"/>
              <w:bottom w:val="single" w:sz="4" w:space="0" w:color="000000"/>
              <w:right w:val="single" w:sz="4" w:space="0" w:color="000000"/>
            </w:tcBorders>
          </w:tcPr>
          <w:p w14:paraId="63E386A5" w14:textId="77777777" w:rsidR="00B61B5C" w:rsidRPr="00B61B5C" w:rsidRDefault="00B61B5C" w:rsidP="008C1EC7">
            <w:pPr>
              <w:pStyle w:val="Default"/>
              <w:rPr>
                <w:rFonts w:ascii="Arial" w:hAnsi="Arial" w:cs="Arial"/>
                <w:color w:val="auto"/>
                <w:sz w:val="20"/>
                <w:szCs w:val="20"/>
              </w:rPr>
            </w:pPr>
            <w:proofErr w:type="spellStart"/>
            <w:r w:rsidRPr="00B61B5C">
              <w:rPr>
                <w:rFonts w:ascii="Arial" w:hAnsi="Arial" w:cs="Arial"/>
                <w:color w:val="auto"/>
                <w:sz w:val="20"/>
                <w:szCs w:val="20"/>
              </w:rPr>
              <w:t>No</w:t>
            </w:r>
            <w:r w:rsidRPr="00B61B5C">
              <w:rPr>
                <w:rFonts w:ascii="Arial" w:hAnsi="Arial" w:cs="Arial"/>
                <w:color w:val="auto"/>
                <w:sz w:val="20"/>
                <w:szCs w:val="20"/>
                <w:vertAlign w:val="superscript"/>
              </w:rPr>
              <w:t>l</w:t>
            </w:r>
            <w:proofErr w:type="spellEnd"/>
            <w:r w:rsidRPr="00B61B5C">
              <w:rPr>
                <w:rFonts w:ascii="Arial" w:hAnsi="Arial" w:cs="Arial"/>
                <w:color w:val="auto"/>
                <w:sz w:val="20"/>
                <w:szCs w:val="20"/>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2AB15FC1"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 xml:space="preserve">&gt; 260ºC </w:t>
            </w:r>
            <w:r w:rsidRPr="00B61B5C">
              <w:rPr>
                <w:rFonts w:ascii="Arial" w:hAnsi="Arial" w:cs="Arial"/>
                <w:color w:val="auto"/>
                <w:sz w:val="20"/>
                <w:szCs w:val="20"/>
                <w:vertAlign w:val="superscript"/>
              </w:rPr>
              <w:t>m</w:t>
            </w:r>
          </w:p>
        </w:tc>
        <w:tc>
          <w:tcPr>
            <w:tcW w:w="1587" w:type="dxa"/>
            <w:tcBorders>
              <w:top w:val="single" w:sz="4" w:space="0" w:color="000000"/>
              <w:left w:val="single" w:sz="4" w:space="0" w:color="000000"/>
              <w:bottom w:val="single" w:sz="4" w:space="0" w:color="000000"/>
              <w:right w:val="single" w:sz="4" w:space="0" w:color="000000"/>
            </w:tcBorders>
          </w:tcPr>
          <w:p w14:paraId="71B33398"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 xml:space="preserve"> No</w:t>
            </w:r>
            <w:r w:rsidRPr="00B61B5C">
              <w:rPr>
                <w:rFonts w:ascii="Arial" w:hAnsi="Arial" w:cs="Arial"/>
                <w:color w:val="auto"/>
                <w:sz w:val="20"/>
                <w:szCs w:val="20"/>
                <w:vertAlign w:val="superscript"/>
              </w:rPr>
              <w:t>n</w:t>
            </w:r>
          </w:p>
        </w:tc>
        <w:tc>
          <w:tcPr>
            <w:tcW w:w="1607" w:type="dxa"/>
            <w:tcBorders>
              <w:top w:val="single" w:sz="4" w:space="0" w:color="000000"/>
              <w:left w:val="single" w:sz="4" w:space="0" w:color="000000"/>
              <w:bottom w:val="single" w:sz="4" w:space="0" w:color="000000"/>
              <w:right w:val="single" w:sz="4" w:space="0" w:color="000000"/>
            </w:tcBorders>
          </w:tcPr>
          <w:p w14:paraId="02CF4F2D" w14:textId="77777777" w:rsidR="00B61B5C" w:rsidRPr="00B61B5C" w:rsidRDefault="00B61B5C" w:rsidP="008C1EC7">
            <w:pPr>
              <w:pStyle w:val="Default"/>
              <w:rPr>
                <w:rFonts w:ascii="Arial" w:hAnsi="Arial" w:cs="Arial"/>
                <w:color w:val="auto"/>
                <w:sz w:val="20"/>
                <w:szCs w:val="20"/>
              </w:rPr>
            </w:pPr>
            <w:r w:rsidRPr="00B61B5C">
              <w:rPr>
                <w:rFonts w:ascii="Arial" w:hAnsi="Arial" w:cs="Arial"/>
                <w:color w:val="auto"/>
                <w:sz w:val="20"/>
                <w:szCs w:val="20"/>
              </w:rPr>
              <w:t xml:space="preserve"> ND </w:t>
            </w:r>
          </w:p>
        </w:tc>
      </w:tr>
      <w:tr w:rsidR="00B61B5C" w:rsidRPr="00B61B5C" w14:paraId="6CB8B7EE" w14:textId="77777777" w:rsidTr="008C1EC7">
        <w:trPr>
          <w:trHeight w:val="355"/>
        </w:trPr>
        <w:tc>
          <w:tcPr>
            <w:tcW w:w="2235" w:type="dxa"/>
            <w:tcBorders>
              <w:top w:val="single" w:sz="4" w:space="0" w:color="000000"/>
              <w:left w:val="single" w:sz="4" w:space="0" w:color="000000"/>
              <w:bottom w:val="single" w:sz="4" w:space="0" w:color="000000"/>
              <w:right w:val="single" w:sz="4" w:space="0" w:color="000000"/>
            </w:tcBorders>
          </w:tcPr>
          <w:p w14:paraId="04D5DE74" w14:textId="77777777" w:rsidR="00B61B5C" w:rsidRPr="00B61B5C" w:rsidRDefault="00B61B5C" w:rsidP="008C1EC7">
            <w:pPr>
              <w:pStyle w:val="Default"/>
              <w:rPr>
                <w:rFonts w:ascii="Arial" w:hAnsi="Arial" w:cs="Arial"/>
                <w:sz w:val="20"/>
                <w:szCs w:val="20"/>
              </w:rPr>
            </w:pPr>
            <w:r w:rsidRPr="00B61B5C">
              <w:rPr>
                <w:rFonts w:ascii="Arial" w:hAnsi="Arial" w:cs="Arial"/>
                <w:sz w:val="20"/>
                <w:szCs w:val="20"/>
              </w:rPr>
              <w:t xml:space="preserve">Palytoxin </w:t>
            </w:r>
          </w:p>
        </w:tc>
        <w:tc>
          <w:tcPr>
            <w:tcW w:w="1525" w:type="dxa"/>
            <w:tcBorders>
              <w:top w:val="single" w:sz="4" w:space="0" w:color="000000"/>
              <w:left w:val="single" w:sz="4" w:space="0" w:color="000000"/>
              <w:bottom w:val="single" w:sz="4" w:space="0" w:color="000000"/>
              <w:right w:val="single" w:sz="4" w:space="0" w:color="000000"/>
            </w:tcBorders>
          </w:tcPr>
          <w:p w14:paraId="1BC3C6A2" w14:textId="77777777" w:rsidR="00B61B5C" w:rsidRPr="00B61B5C" w:rsidRDefault="00B61B5C" w:rsidP="008C1EC7">
            <w:pPr>
              <w:pStyle w:val="Default"/>
              <w:rPr>
                <w:rFonts w:ascii="Arial" w:hAnsi="Arial" w:cs="Arial"/>
                <w:sz w:val="20"/>
                <w:szCs w:val="20"/>
              </w:rPr>
            </w:pPr>
            <w:proofErr w:type="spellStart"/>
            <w:r w:rsidRPr="00B61B5C">
              <w:rPr>
                <w:rFonts w:ascii="Arial" w:hAnsi="Arial" w:cs="Arial"/>
                <w:sz w:val="20"/>
                <w:szCs w:val="20"/>
              </w:rPr>
              <w:t>No</w:t>
            </w:r>
            <w:r w:rsidRPr="00B61B5C">
              <w:rPr>
                <w:rFonts w:ascii="Arial" w:hAnsi="Arial" w:cs="Arial"/>
                <w:sz w:val="20"/>
                <w:szCs w:val="20"/>
                <w:vertAlign w:val="superscript"/>
              </w:rPr>
              <w:t>l</w:t>
            </w:r>
            <w:proofErr w:type="spellEnd"/>
            <w:r w:rsidRPr="00B61B5C">
              <w:rPr>
                <w:rFonts w:ascii="Arial" w:hAnsi="Arial" w:cs="Arial"/>
                <w:sz w:val="20"/>
                <w:szCs w:val="20"/>
                <w:vertAlign w:val="superscript"/>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40A7FB0F" w14:textId="77777777" w:rsidR="00B61B5C" w:rsidRPr="00B61B5C" w:rsidRDefault="00B61B5C" w:rsidP="008C1EC7">
            <w:pPr>
              <w:pStyle w:val="Default"/>
              <w:rPr>
                <w:rFonts w:ascii="Arial" w:hAnsi="Arial" w:cs="Arial"/>
                <w:sz w:val="20"/>
                <w:szCs w:val="20"/>
              </w:rPr>
            </w:pPr>
            <w:r w:rsidRPr="00B61B5C">
              <w:rPr>
                <w:rFonts w:ascii="Arial" w:hAnsi="Arial" w:cs="Arial"/>
                <w:sz w:val="20"/>
                <w:szCs w:val="20"/>
              </w:rPr>
              <w:t>&gt; 260ºC</w:t>
            </w:r>
            <w:r w:rsidRPr="00B61B5C">
              <w:rPr>
                <w:rFonts w:ascii="Arial" w:hAnsi="Arial" w:cs="Arial"/>
                <w:sz w:val="20"/>
                <w:szCs w:val="20"/>
                <w:vertAlign w:val="superscript"/>
              </w:rPr>
              <w:t>m</w:t>
            </w:r>
          </w:p>
        </w:tc>
        <w:tc>
          <w:tcPr>
            <w:tcW w:w="1587" w:type="dxa"/>
            <w:tcBorders>
              <w:top w:val="single" w:sz="4" w:space="0" w:color="000000"/>
              <w:left w:val="single" w:sz="4" w:space="0" w:color="000000"/>
              <w:bottom w:val="single" w:sz="4" w:space="0" w:color="000000"/>
              <w:right w:val="single" w:sz="4" w:space="0" w:color="000000"/>
            </w:tcBorders>
          </w:tcPr>
          <w:p w14:paraId="07574FDC" w14:textId="77777777" w:rsidR="00B61B5C" w:rsidRPr="00B61B5C" w:rsidRDefault="00B61B5C" w:rsidP="008C1EC7">
            <w:pPr>
              <w:pStyle w:val="Default"/>
              <w:rPr>
                <w:rFonts w:ascii="Arial" w:hAnsi="Arial" w:cs="Arial"/>
                <w:sz w:val="20"/>
                <w:szCs w:val="20"/>
              </w:rPr>
            </w:pPr>
            <w:r w:rsidRPr="00B61B5C">
              <w:rPr>
                <w:rFonts w:ascii="Arial" w:hAnsi="Arial" w:cs="Arial"/>
                <w:sz w:val="20"/>
                <w:szCs w:val="20"/>
              </w:rPr>
              <w:t xml:space="preserve"> No</w:t>
            </w:r>
            <w:r w:rsidRPr="00B61B5C">
              <w:rPr>
                <w:rFonts w:ascii="Arial" w:hAnsi="Arial" w:cs="Arial"/>
                <w:sz w:val="20"/>
                <w:szCs w:val="20"/>
                <w:vertAlign w:val="superscript"/>
              </w:rPr>
              <w:t>n</w:t>
            </w:r>
          </w:p>
        </w:tc>
        <w:tc>
          <w:tcPr>
            <w:tcW w:w="1607" w:type="dxa"/>
            <w:tcBorders>
              <w:top w:val="single" w:sz="4" w:space="0" w:color="000000"/>
              <w:left w:val="single" w:sz="4" w:space="0" w:color="000000"/>
              <w:bottom w:val="single" w:sz="4" w:space="0" w:color="000000"/>
              <w:right w:val="single" w:sz="4" w:space="0" w:color="000000"/>
            </w:tcBorders>
          </w:tcPr>
          <w:p w14:paraId="3B9F637E" w14:textId="77777777" w:rsidR="00B61B5C" w:rsidRPr="00B61B5C" w:rsidRDefault="00B61B5C" w:rsidP="008C1EC7">
            <w:pPr>
              <w:pStyle w:val="Default"/>
              <w:rPr>
                <w:rFonts w:ascii="Arial" w:hAnsi="Arial" w:cs="Arial"/>
                <w:sz w:val="20"/>
                <w:szCs w:val="20"/>
              </w:rPr>
            </w:pPr>
            <w:r w:rsidRPr="00B61B5C">
              <w:rPr>
                <w:rFonts w:ascii="Arial" w:hAnsi="Arial" w:cs="Arial"/>
                <w:sz w:val="20"/>
                <w:szCs w:val="20"/>
              </w:rPr>
              <w:t xml:space="preserve"> ND </w:t>
            </w:r>
          </w:p>
        </w:tc>
      </w:tr>
      <w:tr w:rsidR="00B61B5C" w:rsidRPr="00B61B5C" w14:paraId="6BEF2BE9" w14:textId="77777777" w:rsidTr="008C1EC7">
        <w:trPr>
          <w:trHeight w:val="355"/>
        </w:trPr>
        <w:tc>
          <w:tcPr>
            <w:tcW w:w="2235" w:type="dxa"/>
            <w:tcBorders>
              <w:top w:val="single" w:sz="4" w:space="0" w:color="000000"/>
              <w:left w:val="single" w:sz="4" w:space="0" w:color="000000"/>
              <w:bottom w:val="single" w:sz="4" w:space="0" w:color="000000"/>
              <w:right w:val="single" w:sz="4" w:space="0" w:color="000000"/>
            </w:tcBorders>
          </w:tcPr>
          <w:p w14:paraId="05751987" w14:textId="77777777" w:rsidR="00B61B5C" w:rsidRPr="00B61B5C" w:rsidRDefault="00B61B5C" w:rsidP="008C1EC7">
            <w:pPr>
              <w:pStyle w:val="Default"/>
              <w:rPr>
                <w:rFonts w:ascii="Arial" w:hAnsi="Arial" w:cs="Arial"/>
                <w:sz w:val="20"/>
                <w:szCs w:val="20"/>
              </w:rPr>
            </w:pPr>
            <w:r w:rsidRPr="00B61B5C">
              <w:rPr>
                <w:rFonts w:ascii="Arial" w:hAnsi="Arial" w:cs="Arial"/>
                <w:sz w:val="20"/>
                <w:szCs w:val="20"/>
              </w:rPr>
              <w:t xml:space="preserve">Tetrodotoxin </w:t>
            </w:r>
          </w:p>
        </w:tc>
        <w:tc>
          <w:tcPr>
            <w:tcW w:w="1525" w:type="dxa"/>
            <w:tcBorders>
              <w:top w:val="single" w:sz="4" w:space="0" w:color="000000"/>
              <w:left w:val="single" w:sz="4" w:space="0" w:color="000000"/>
              <w:bottom w:val="single" w:sz="4" w:space="0" w:color="000000"/>
              <w:right w:val="single" w:sz="4" w:space="0" w:color="000000"/>
            </w:tcBorders>
          </w:tcPr>
          <w:p w14:paraId="78611174" w14:textId="77777777" w:rsidR="00B61B5C" w:rsidRPr="00B61B5C" w:rsidRDefault="00B61B5C" w:rsidP="008C1EC7">
            <w:pPr>
              <w:pStyle w:val="Default"/>
              <w:rPr>
                <w:rFonts w:ascii="Arial" w:hAnsi="Arial" w:cs="Arial"/>
                <w:sz w:val="20"/>
                <w:szCs w:val="20"/>
              </w:rPr>
            </w:pPr>
            <w:proofErr w:type="spellStart"/>
            <w:r w:rsidRPr="00B61B5C">
              <w:rPr>
                <w:rFonts w:ascii="Arial" w:hAnsi="Arial" w:cs="Arial"/>
                <w:sz w:val="20"/>
                <w:szCs w:val="20"/>
              </w:rPr>
              <w:t>No</w:t>
            </w:r>
            <w:r w:rsidRPr="00B61B5C">
              <w:rPr>
                <w:rFonts w:ascii="Arial" w:hAnsi="Arial" w:cs="Arial"/>
                <w:sz w:val="20"/>
                <w:szCs w:val="20"/>
                <w:vertAlign w:val="superscript"/>
              </w:rPr>
              <w:t>l</w:t>
            </w:r>
            <w:proofErr w:type="spellEnd"/>
            <w:r w:rsidRPr="00B61B5C">
              <w:rPr>
                <w:rFonts w:ascii="Arial" w:hAnsi="Arial" w:cs="Arial"/>
                <w:sz w:val="20"/>
                <w:szCs w:val="20"/>
                <w:vertAlign w:val="superscript"/>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3EE77EEF" w14:textId="77777777" w:rsidR="00B61B5C" w:rsidRPr="00B61B5C" w:rsidRDefault="00B61B5C" w:rsidP="008C1EC7">
            <w:pPr>
              <w:pStyle w:val="Default"/>
              <w:rPr>
                <w:rFonts w:ascii="Arial" w:hAnsi="Arial" w:cs="Arial"/>
                <w:sz w:val="20"/>
                <w:szCs w:val="20"/>
              </w:rPr>
            </w:pPr>
            <w:r w:rsidRPr="00B61B5C">
              <w:rPr>
                <w:rFonts w:ascii="Arial" w:hAnsi="Arial" w:cs="Arial"/>
                <w:sz w:val="20"/>
                <w:szCs w:val="20"/>
              </w:rPr>
              <w:t>&gt; 260ºC</w:t>
            </w:r>
            <w:r w:rsidRPr="00B61B5C">
              <w:rPr>
                <w:rFonts w:ascii="Arial" w:hAnsi="Arial" w:cs="Arial"/>
                <w:sz w:val="20"/>
                <w:szCs w:val="20"/>
                <w:vertAlign w:val="superscript"/>
              </w:rPr>
              <w:t>m</w:t>
            </w:r>
          </w:p>
        </w:tc>
        <w:tc>
          <w:tcPr>
            <w:tcW w:w="1587" w:type="dxa"/>
            <w:tcBorders>
              <w:top w:val="single" w:sz="4" w:space="0" w:color="000000"/>
              <w:left w:val="single" w:sz="4" w:space="0" w:color="000000"/>
              <w:bottom w:val="single" w:sz="4" w:space="0" w:color="000000"/>
              <w:right w:val="single" w:sz="4" w:space="0" w:color="000000"/>
            </w:tcBorders>
          </w:tcPr>
          <w:p w14:paraId="51FD70F6" w14:textId="77777777" w:rsidR="00B61B5C" w:rsidRPr="00B61B5C" w:rsidRDefault="00B61B5C" w:rsidP="008C1EC7">
            <w:pPr>
              <w:pStyle w:val="Default"/>
              <w:rPr>
                <w:rFonts w:ascii="Arial" w:hAnsi="Arial" w:cs="Arial"/>
                <w:sz w:val="20"/>
                <w:szCs w:val="20"/>
              </w:rPr>
            </w:pPr>
            <w:r w:rsidRPr="00B61B5C">
              <w:rPr>
                <w:rFonts w:ascii="Arial" w:hAnsi="Arial" w:cs="Arial"/>
                <w:sz w:val="20"/>
                <w:szCs w:val="20"/>
              </w:rPr>
              <w:t xml:space="preserve"> No</w:t>
            </w:r>
            <w:r w:rsidRPr="00B61B5C">
              <w:rPr>
                <w:rFonts w:ascii="Arial" w:hAnsi="Arial" w:cs="Arial"/>
                <w:sz w:val="20"/>
                <w:szCs w:val="20"/>
                <w:vertAlign w:val="superscript"/>
              </w:rPr>
              <w:t>n</w:t>
            </w:r>
          </w:p>
        </w:tc>
        <w:tc>
          <w:tcPr>
            <w:tcW w:w="1607" w:type="dxa"/>
            <w:tcBorders>
              <w:top w:val="single" w:sz="4" w:space="0" w:color="000000"/>
              <w:left w:val="single" w:sz="4" w:space="0" w:color="000000"/>
              <w:bottom w:val="single" w:sz="4" w:space="0" w:color="000000"/>
              <w:right w:val="single" w:sz="4" w:space="0" w:color="000000"/>
            </w:tcBorders>
          </w:tcPr>
          <w:p w14:paraId="02E37AEB" w14:textId="77777777" w:rsidR="00B61B5C" w:rsidRPr="00B61B5C" w:rsidRDefault="00B61B5C" w:rsidP="008C1EC7">
            <w:pPr>
              <w:pStyle w:val="Default"/>
              <w:rPr>
                <w:rFonts w:ascii="Arial" w:hAnsi="Arial" w:cs="Arial"/>
                <w:sz w:val="20"/>
                <w:szCs w:val="20"/>
              </w:rPr>
            </w:pPr>
            <w:r w:rsidRPr="00B61B5C">
              <w:rPr>
                <w:rFonts w:ascii="Arial" w:hAnsi="Arial" w:cs="Arial"/>
                <w:sz w:val="20"/>
                <w:szCs w:val="20"/>
              </w:rPr>
              <w:t xml:space="preserve"> ND </w:t>
            </w:r>
          </w:p>
        </w:tc>
      </w:tr>
      <w:tr w:rsidR="00B61B5C" w:rsidRPr="00B61B5C" w14:paraId="4E1B97F6" w14:textId="77777777" w:rsidTr="008C1EC7">
        <w:trPr>
          <w:trHeight w:val="355"/>
        </w:trPr>
        <w:tc>
          <w:tcPr>
            <w:tcW w:w="2235" w:type="dxa"/>
            <w:tcBorders>
              <w:top w:val="single" w:sz="4" w:space="0" w:color="000000"/>
              <w:left w:val="single" w:sz="4" w:space="0" w:color="000000"/>
              <w:bottom w:val="single" w:sz="4" w:space="0" w:color="000000"/>
              <w:right w:val="single" w:sz="4" w:space="0" w:color="000000"/>
            </w:tcBorders>
          </w:tcPr>
          <w:p w14:paraId="51747FBC" w14:textId="77777777" w:rsidR="00B61B5C" w:rsidRPr="00B61B5C" w:rsidRDefault="00B61B5C" w:rsidP="008C1EC7">
            <w:pPr>
              <w:pStyle w:val="Default"/>
              <w:rPr>
                <w:rFonts w:ascii="Arial" w:hAnsi="Arial" w:cs="Arial"/>
                <w:sz w:val="20"/>
                <w:szCs w:val="20"/>
              </w:rPr>
            </w:pPr>
            <w:r w:rsidRPr="00B61B5C">
              <w:rPr>
                <w:rFonts w:ascii="Arial" w:hAnsi="Arial" w:cs="Arial"/>
                <w:sz w:val="20"/>
                <w:szCs w:val="20"/>
              </w:rPr>
              <w:t xml:space="preserve">T-2 mycotoxin </w:t>
            </w:r>
          </w:p>
        </w:tc>
        <w:tc>
          <w:tcPr>
            <w:tcW w:w="1525" w:type="dxa"/>
            <w:tcBorders>
              <w:top w:val="single" w:sz="4" w:space="0" w:color="000000"/>
              <w:left w:val="single" w:sz="4" w:space="0" w:color="000000"/>
              <w:bottom w:val="single" w:sz="4" w:space="0" w:color="000000"/>
              <w:right w:val="single" w:sz="4" w:space="0" w:color="000000"/>
            </w:tcBorders>
          </w:tcPr>
          <w:p w14:paraId="7D55240A" w14:textId="77777777" w:rsidR="00B61B5C" w:rsidRPr="00B61B5C" w:rsidRDefault="00B61B5C" w:rsidP="008C1EC7">
            <w:pPr>
              <w:pStyle w:val="Default"/>
              <w:rPr>
                <w:rFonts w:ascii="Arial" w:hAnsi="Arial" w:cs="Arial"/>
                <w:sz w:val="20"/>
                <w:szCs w:val="20"/>
              </w:rPr>
            </w:pPr>
            <w:proofErr w:type="spellStart"/>
            <w:r w:rsidRPr="00B61B5C">
              <w:rPr>
                <w:rFonts w:ascii="Arial" w:hAnsi="Arial" w:cs="Arial"/>
                <w:sz w:val="20"/>
                <w:szCs w:val="20"/>
              </w:rPr>
              <w:t>No</w:t>
            </w:r>
            <w:r w:rsidRPr="00B61B5C">
              <w:rPr>
                <w:rFonts w:ascii="Arial" w:hAnsi="Arial" w:cs="Arial"/>
                <w:sz w:val="20"/>
                <w:szCs w:val="20"/>
                <w:vertAlign w:val="superscript"/>
              </w:rPr>
              <w:t>l</w:t>
            </w:r>
            <w:proofErr w:type="spellEnd"/>
            <w:r w:rsidRPr="00B61B5C">
              <w:rPr>
                <w:rFonts w:ascii="Arial" w:hAnsi="Arial" w:cs="Arial"/>
                <w:sz w:val="20"/>
                <w:szCs w:val="20"/>
                <w:vertAlign w:val="superscript"/>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46547E2E" w14:textId="77777777" w:rsidR="00B61B5C" w:rsidRPr="00B61B5C" w:rsidRDefault="00B61B5C" w:rsidP="008C1EC7">
            <w:pPr>
              <w:pStyle w:val="Default"/>
              <w:rPr>
                <w:rFonts w:ascii="Arial" w:hAnsi="Arial" w:cs="Arial"/>
                <w:sz w:val="20"/>
                <w:szCs w:val="20"/>
              </w:rPr>
            </w:pPr>
            <w:r w:rsidRPr="00B61B5C">
              <w:rPr>
                <w:rFonts w:ascii="Arial" w:hAnsi="Arial" w:cs="Arial"/>
                <w:sz w:val="20"/>
                <w:szCs w:val="20"/>
              </w:rPr>
              <w:t>&gt; 815ºC</w:t>
            </w:r>
            <w:r w:rsidRPr="00B61B5C">
              <w:rPr>
                <w:rFonts w:ascii="Arial" w:hAnsi="Arial" w:cs="Arial"/>
                <w:sz w:val="20"/>
                <w:szCs w:val="20"/>
                <w:vertAlign w:val="superscript"/>
              </w:rPr>
              <w:t xml:space="preserve">m </w:t>
            </w:r>
          </w:p>
        </w:tc>
        <w:tc>
          <w:tcPr>
            <w:tcW w:w="1587" w:type="dxa"/>
            <w:tcBorders>
              <w:top w:val="single" w:sz="4" w:space="0" w:color="000000"/>
              <w:left w:val="single" w:sz="4" w:space="0" w:color="000000"/>
              <w:bottom w:val="single" w:sz="4" w:space="0" w:color="000000"/>
              <w:right w:val="single" w:sz="4" w:space="0" w:color="000000"/>
            </w:tcBorders>
          </w:tcPr>
          <w:p w14:paraId="32798FF1" w14:textId="77777777" w:rsidR="00B61B5C" w:rsidRPr="00B61B5C" w:rsidRDefault="00B61B5C" w:rsidP="008C1EC7">
            <w:pPr>
              <w:pStyle w:val="Default"/>
              <w:rPr>
                <w:rFonts w:ascii="Arial" w:hAnsi="Arial" w:cs="Arial"/>
                <w:sz w:val="20"/>
                <w:szCs w:val="20"/>
              </w:rPr>
            </w:pPr>
            <w:r w:rsidRPr="00B61B5C">
              <w:rPr>
                <w:rFonts w:ascii="Arial" w:hAnsi="Arial" w:cs="Arial"/>
                <w:sz w:val="20"/>
                <w:szCs w:val="20"/>
              </w:rPr>
              <w:t>No</w:t>
            </w:r>
            <w:r w:rsidRPr="00B61B5C">
              <w:rPr>
                <w:rFonts w:ascii="Arial" w:hAnsi="Arial" w:cs="Arial"/>
                <w:sz w:val="20"/>
                <w:szCs w:val="20"/>
                <w:vertAlign w:val="superscript"/>
              </w:rPr>
              <w:t>n</w:t>
            </w:r>
          </w:p>
        </w:tc>
        <w:tc>
          <w:tcPr>
            <w:tcW w:w="1607" w:type="dxa"/>
            <w:tcBorders>
              <w:top w:val="single" w:sz="4" w:space="0" w:color="000000"/>
              <w:left w:val="single" w:sz="4" w:space="0" w:color="000000"/>
              <w:bottom w:val="single" w:sz="4" w:space="0" w:color="000000"/>
              <w:right w:val="single" w:sz="4" w:space="0" w:color="000000"/>
            </w:tcBorders>
          </w:tcPr>
          <w:p w14:paraId="7C93D33C" w14:textId="77777777" w:rsidR="00B61B5C" w:rsidRPr="00B61B5C" w:rsidRDefault="00B61B5C" w:rsidP="008C1EC7">
            <w:pPr>
              <w:pStyle w:val="Default"/>
              <w:rPr>
                <w:rFonts w:ascii="Arial" w:hAnsi="Arial" w:cs="Arial"/>
                <w:sz w:val="20"/>
                <w:szCs w:val="20"/>
              </w:rPr>
            </w:pPr>
            <w:r w:rsidRPr="00B61B5C">
              <w:rPr>
                <w:rFonts w:ascii="Arial" w:hAnsi="Arial" w:cs="Arial"/>
                <w:sz w:val="20"/>
                <w:szCs w:val="20"/>
              </w:rPr>
              <w:t xml:space="preserve"> ND </w:t>
            </w:r>
          </w:p>
        </w:tc>
      </w:tr>
      <w:tr w:rsidR="00B61B5C" w:rsidRPr="00B61B5C" w14:paraId="1BE1CD47" w14:textId="77777777" w:rsidTr="008C1EC7">
        <w:trPr>
          <w:trHeight w:val="357"/>
        </w:trPr>
        <w:tc>
          <w:tcPr>
            <w:tcW w:w="2235" w:type="dxa"/>
            <w:tcBorders>
              <w:top w:val="single" w:sz="4" w:space="0" w:color="000000"/>
              <w:left w:val="single" w:sz="4" w:space="0" w:color="000000"/>
              <w:bottom w:val="single" w:sz="6" w:space="0" w:color="000000"/>
              <w:right w:val="single" w:sz="4" w:space="0" w:color="000000"/>
            </w:tcBorders>
          </w:tcPr>
          <w:p w14:paraId="13A19941" w14:textId="77777777" w:rsidR="00B61B5C" w:rsidRPr="00B61B5C" w:rsidRDefault="00B61B5C" w:rsidP="008C1EC7">
            <w:pPr>
              <w:pStyle w:val="Default"/>
              <w:rPr>
                <w:rFonts w:ascii="Arial" w:hAnsi="Arial" w:cs="Arial"/>
                <w:sz w:val="20"/>
                <w:szCs w:val="20"/>
              </w:rPr>
            </w:pPr>
            <w:proofErr w:type="spellStart"/>
            <w:r w:rsidRPr="00B61B5C">
              <w:rPr>
                <w:rFonts w:ascii="Arial" w:hAnsi="Arial" w:cs="Arial"/>
                <w:sz w:val="20"/>
                <w:szCs w:val="20"/>
              </w:rPr>
              <w:t>Brevetoxin</w:t>
            </w:r>
            <w:proofErr w:type="spellEnd"/>
            <w:r w:rsidRPr="00B61B5C">
              <w:rPr>
                <w:rFonts w:ascii="Arial" w:hAnsi="Arial" w:cs="Arial"/>
                <w:sz w:val="20"/>
                <w:szCs w:val="20"/>
              </w:rPr>
              <w:t xml:space="preserve"> (PbTx-2) </w:t>
            </w:r>
          </w:p>
        </w:tc>
        <w:tc>
          <w:tcPr>
            <w:tcW w:w="1525" w:type="dxa"/>
            <w:tcBorders>
              <w:top w:val="single" w:sz="4" w:space="0" w:color="000000"/>
              <w:left w:val="single" w:sz="4" w:space="0" w:color="000000"/>
              <w:bottom w:val="single" w:sz="6" w:space="0" w:color="000000"/>
              <w:right w:val="single" w:sz="4" w:space="0" w:color="000000"/>
            </w:tcBorders>
          </w:tcPr>
          <w:p w14:paraId="398100C5" w14:textId="77777777" w:rsidR="00B61B5C" w:rsidRPr="00B61B5C" w:rsidRDefault="00B61B5C" w:rsidP="008C1EC7">
            <w:pPr>
              <w:pStyle w:val="Default"/>
              <w:rPr>
                <w:rFonts w:ascii="Arial" w:hAnsi="Arial" w:cs="Arial"/>
                <w:sz w:val="20"/>
                <w:szCs w:val="20"/>
              </w:rPr>
            </w:pPr>
            <w:proofErr w:type="spellStart"/>
            <w:r w:rsidRPr="00B61B5C">
              <w:rPr>
                <w:rFonts w:ascii="Arial" w:hAnsi="Arial" w:cs="Arial"/>
                <w:sz w:val="20"/>
                <w:szCs w:val="20"/>
              </w:rPr>
              <w:t>No</w:t>
            </w:r>
            <w:r w:rsidRPr="00B61B5C">
              <w:rPr>
                <w:rFonts w:ascii="Arial" w:hAnsi="Arial" w:cs="Arial"/>
                <w:sz w:val="20"/>
                <w:szCs w:val="20"/>
                <w:vertAlign w:val="superscript"/>
              </w:rPr>
              <w:t>l</w:t>
            </w:r>
            <w:proofErr w:type="spellEnd"/>
            <w:r w:rsidRPr="00B61B5C">
              <w:rPr>
                <w:rFonts w:ascii="Arial" w:hAnsi="Arial" w:cs="Arial"/>
                <w:sz w:val="20"/>
                <w:szCs w:val="20"/>
                <w:vertAlign w:val="superscript"/>
              </w:rPr>
              <w:t xml:space="preserve"> </w:t>
            </w:r>
          </w:p>
        </w:tc>
        <w:tc>
          <w:tcPr>
            <w:tcW w:w="2077" w:type="dxa"/>
            <w:tcBorders>
              <w:top w:val="single" w:sz="4" w:space="0" w:color="000000"/>
              <w:left w:val="single" w:sz="4" w:space="0" w:color="000000"/>
              <w:bottom w:val="single" w:sz="6" w:space="0" w:color="000000"/>
              <w:right w:val="single" w:sz="4" w:space="0" w:color="000000"/>
            </w:tcBorders>
          </w:tcPr>
          <w:p w14:paraId="25075B36" w14:textId="77777777" w:rsidR="00B61B5C" w:rsidRPr="00B61B5C" w:rsidRDefault="00B61B5C" w:rsidP="008C1EC7">
            <w:pPr>
              <w:pStyle w:val="Default"/>
              <w:rPr>
                <w:rFonts w:ascii="Arial" w:hAnsi="Arial" w:cs="Arial"/>
                <w:sz w:val="20"/>
                <w:szCs w:val="20"/>
              </w:rPr>
            </w:pPr>
            <w:r w:rsidRPr="00B61B5C">
              <w:rPr>
                <w:rFonts w:ascii="Arial" w:hAnsi="Arial" w:cs="Arial"/>
                <w:sz w:val="20"/>
                <w:szCs w:val="20"/>
              </w:rPr>
              <w:t>&gt; 815ºC</w:t>
            </w:r>
            <w:r w:rsidRPr="00B61B5C">
              <w:rPr>
                <w:rFonts w:ascii="Arial" w:hAnsi="Arial" w:cs="Arial"/>
                <w:sz w:val="20"/>
                <w:szCs w:val="20"/>
                <w:vertAlign w:val="superscript"/>
              </w:rPr>
              <w:t>m</w:t>
            </w:r>
          </w:p>
        </w:tc>
        <w:tc>
          <w:tcPr>
            <w:tcW w:w="1587" w:type="dxa"/>
            <w:tcBorders>
              <w:top w:val="single" w:sz="4" w:space="0" w:color="000000"/>
              <w:left w:val="single" w:sz="4" w:space="0" w:color="000000"/>
              <w:bottom w:val="single" w:sz="6" w:space="0" w:color="000000"/>
              <w:right w:val="single" w:sz="4" w:space="0" w:color="000000"/>
            </w:tcBorders>
          </w:tcPr>
          <w:p w14:paraId="2642F1B2" w14:textId="77777777" w:rsidR="00B61B5C" w:rsidRPr="00B61B5C" w:rsidRDefault="00B61B5C" w:rsidP="008C1EC7">
            <w:pPr>
              <w:pStyle w:val="Default"/>
              <w:rPr>
                <w:rFonts w:ascii="Arial" w:hAnsi="Arial" w:cs="Arial"/>
                <w:sz w:val="20"/>
                <w:szCs w:val="20"/>
              </w:rPr>
            </w:pPr>
            <w:r w:rsidRPr="00B61B5C">
              <w:rPr>
                <w:rFonts w:ascii="Arial" w:hAnsi="Arial" w:cs="Arial"/>
                <w:sz w:val="20"/>
                <w:szCs w:val="20"/>
              </w:rPr>
              <w:t xml:space="preserve"> No</w:t>
            </w:r>
            <w:r w:rsidRPr="00B61B5C">
              <w:rPr>
                <w:rFonts w:ascii="Arial" w:hAnsi="Arial" w:cs="Arial"/>
                <w:sz w:val="20"/>
                <w:szCs w:val="20"/>
                <w:vertAlign w:val="superscript"/>
              </w:rPr>
              <w:t>n</w:t>
            </w:r>
          </w:p>
        </w:tc>
        <w:tc>
          <w:tcPr>
            <w:tcW w:w="1607" w:type="dxa"/>
            <w:tcBorders>
              <w:top w:val="single" w:sz="4" w:space="0" w:color="000000"/>
              <w:left w:val="single" w:sz="4" w:space="0" w:color="000000"/>
              <w:bottom w:val="single" w:sz="6" w:space="0" w:color="000000"/>
              <w:right w:val="single" w:sz="4" w:space="0" w:color="000000"/>
            </w:tcBorders>
          </w:tcPr>
          <w:p w14:paraId="713F13A6" w14:textId="77777777" w:rsidR="00B61B5C" w:rsidRPr="00B61B5C" w:rsidRDefault="00B61B5C" w:rsidP="008C1EC7">
            <w:pPr>
              <w:pStyle w:val="Default"/>
              <w:rPr>
                <w:rFonts w:ascii="Arial" w:hAnsi="Arial" w:cs="Arial"/>
                <w:sz w:val="20"/>
                <w:szCs w:val="20"/>
              </w:rPr>
            </w:pPr>
            <w:r w:rsidRPr="00B61B5C">
              <w:rPr>
                <w:rFonts w:ascii="Arial" w:hAnsi="Arial" w:cs="Arial"/>
                <w:sz w:val="20"/>
                <w:szCs w:val="20"/>
              </w:rPr>
              <w:t xml:space="preserve"> ND </w:t>
            </w:r>
          </w:p>
        </w:tc>
      </w:tr>
    </w:tbl>
    <w:p w14:paraId="408CEDF1" w14:textId="77777777" w:rsidR="00B61B5C" w:rsidRPr="00B61B5C" w:rsidRDefault="00B61B5C" w:rsidP="00B61B5C">
      <w:pPr>
        <w:rPr>
          <w:rFonts w:ascii="Arial" w:hAnsi="Arial" w:cs="Arial"/>
          <w:sz w:val="20"/>
          <w:szCs w:val="20"/>
        </w:rPr>
      </w:pPr>
    </w:p>
    <w:p w14:paraId="79910586" w14:textId="77777777" w:rsidR="00B61B5C" w:rsidRPr="00CA342E" w:rsidRDefault="00B61B5C" w:rsidP="00A67685">
      <w:pPr>
        <w:pStyle w:val="CM2"/>
        <w:jc w:val="both"/>
        <w:rPr>
          <w:rFonts w:ascii="Arial" w:hAnsi="Arial" w:cs="Arial"/>
          <w:sz w:val="20"/>
          <w:szCs w:val="20"/>
        </w:rPr>
      </w:pPr>
      <w:r w:rsidRPr="00CA342E">
        <w:rPr>
          <w:rFonts w:ascii="Arial" w:hAnsi="Arial" w:cs="Arial"/>
          <w:sz w:val="20"/>
          <w:szCs w:val="20"/>
        </w:rPr>
        <w:lastRenderedPageBreak/>
        <w:t xml:space="preserve">Table 1 Notes: ND indicates “not determined” from available decontamination literature. </w:t>
      </w:r>
    </w:p>
    <w:p w14:paraId="4B8DD0C0" w14:textId="77777777" w:rsidR="00B61B5C" w:rsidRPr="00CA342E" w:rsidRDefault="00B61B5C" w:rsidP="00A67685">
      <w:pPr>
        <w:pStyle w:val="CM2"/>
        <w:jc w:val="both"/>
        <w:rPr>
          <w:rFonts w:ascii="Arial" w:hAnsi="Arial" w:cs="Arial"/>
          <w:sz w:val="20"/>
          <w:szCs w:val="20"/>
        </w:rPr>
      </w:pPr>
      <w:r w:rsidRPr="00CA342E">
        <w:rPr>
          <w:rFonts w:ascii="Arial" w:hAnsi="Arial" w:cs="Arial"/>
          <w:sz w:val="20"/>
          <w:szCs w:val="20"/>
          <w:vertAlign w:val="superscript"/>
        </w:rPr>
        <w:t xml:space="preserve">a </w:t>
      </w:r>
      <w:r w:rsidRPr="00CA342E">
        <w:rPr>
          <w:rFonts w:ascii="Arial" w:hAnsi="Arial" w:cs="Arial"/>
          <w:sz w:val="20"/>
          <w:szCs w:val="20"/>
        </w:rPr>
        <w:t xml:space="preserve">Steam autoclaving should be at </w:t>
      </w:r>
      <w:r w:rsidRPr="00CA342E">
        <w:rPr>
          <w:rFonts w:ascii="Arial" w:hAnsi="Arial" w:cs="Arial"/>
          <w:sz w:val="20"/>
          <w:szCs w:val="20"/>
          <w:u w:val="single"/>
        </w:rPr>
        <w:t>&gt;</w:t>
      </w:r>
      <w:r w:rsidRPr="00CA342E">
        <w:rPr>
          <w:rFonts w:ascii="Arial" w:hAnsi="Arial" w:cs="Arial"/>
          <w:sz w:val="20"/>
          <w:szCs w:val="20"/>
        </w:rPr>
        <w:t xml:space="preserve">121°C for 1 h. For volumes larger than 1 liter, especially those containing </w:t>
      </w:r>
      <w:r w:rsidRPr="00CA342E">
        <w:rPr>
          <w:rFonts w:ascii="Arial" w:hAnsi="Arial" w:cs="Arial"/>
          <w:i/>
          <w:iCs/>
          <w:sz w:val="20"/>
          <w:szCs w:val="20"/>
        </w:rPr>
        <w:t>Clostridium botulinum</w:t>
      </w:r>
      <w:r w:rsidRPr="00CA342E">
        <w:rPr>
          <w:rFonts w:ascii="Arial" w:hAnsi="Arial" w:cs="Arial"/>
          <w:sz w:val="20"/>
          <w:szCs w:val="20"/>
        </w:rPr>
        <w:t xml:space="preserve"> spores, autoclave at </w:t>
      </w:r>
      <w:r w:rsidRPr="00CA342E">
        <w:rPr>
          <w:rFonts w:ascii="Arial" w:hAnsi="Arial" w:cs="Arial"/>
          <w:sz w:val="20"/>
          <w:szCs w:val="20"/>
          <w:u w:val="single"/>
        </w:rPr>
        <w:t>&gt;</w:t>
      </w:r>
      <w:r w:rsidRPr="00CA342E">
        <w:rPr>
          <w:rFonts w:ascii="Arial" w:hAnsi="Arial" w:cs="Arial"/>
          <w:sz w:val="20"/>
          <w:szCs w:val="20"/>
        </w:rPr>
        <w:t xml:space="preserve">121°C for 2 h to ensure that sufficient heat has penetrated to kill all spores.  </w:t>
      </w:r>
    </w:p>
    <w:p w14:paraId="1A8E4552" w14:textId="77777777" w:rsidR="00B61B5C" w:rsidRPr="00CA342E" w:rsidRDefault="00B61B5C" w:rsidP="00A67685">
      <w:pPr>
        <w:pStyle w:val="CM2"/>
        <w:jc w:val="both"/>
        <w:rPr>
          <w:rFonts w:ascii="Arial" w:hAnsi="Arial" w:cs="Arial"/>
          <w:sz w:val="20"/>
          <w:szCs w:val="20"/>
        </w:rPr>
      </w:pPr>
      <w:r w:rsidRPr="00CA342E">
        <w:rPr>
          <w:rFonts w:ascii="Arial" w:hAnsi="Arial" w:cs="Arial"/>
          <w:sz w:val="20"/>
          <w:szCs w:val="20"/>
          <w:vertAlign w:val="superscript"/>
        </w:rPr>
        <w:t>b</w:t>
      </w:r>
      <w:r w:rsidRPr="00CA342E">
        <w:rPr>
          <w:rFonts w:ascii="Arial" w:hAnsi="Arial" w:cs="Arial"/>
          <w:sz w:val="20"/>
          <w:szCs w:val="20"/>
        </w:rPr>
        <w:t xml:space="preserve"> Exposure to 100°C for 10 min. inactivates </w:t>
      </w:r>
      <w:proofErr w:type="spellStart"/>
      <w:r w:rsidRPr="00CA342E">
        <w:rPr>
          <w:rFonts w:ascii="Arial" w:hAnsi="Arial" w:cs="Arial"/>
          <w:sz w:val="20"/>
          <w:szCs w:val="20"/>
        </w:rPr>
        <w:t>BoNT</w:t>
      </w:r>
      <w:proofErr w:type="spellEnd"/>
      <w:r w:rsidRPr="00CA342E">
        <w:rPr>
          <w:rFonts w:ascii="Arial" w:hAnsi="Arial" w:cs="Arial"/>
          <w:sz w:val="20"/>
          <w:szCs w:val="20"/>
        </w:rPr>
        <w:t xml:space="preserve">. Heat denaturation of </w:t>
      </w:r>
      <w:proofErr w:type="spellStart"/>
      <w:r w:rsidRPr="00CA342E">
        <w:rPr>
          <w:rFonts w:ascii="Arial" w:hAnsi="Arial" w:cs="Arial"/>
          <w:sz w:val="20"/>
          <w:szCs w:val="20"/>
        </w:rPr>
        <w:t>BoNT</w:t>
      </w:r>
      <w:proofErr w:type="spellEnd"/>
      <w:r w:rsidRPr="00CA342E">
        <w:rPr>
          <w:rFonts w:ascii="Arial" w:hAnsi="Arial" w:cs="Arial"/>
          <w:sz w:val="20"/>
          <w:szCs w:val="20"/>
        </w:rPr>
        <w:t xml:space="preserve"> as a function of time is biphasic with most of the activity destroyed relatively rapidly, but with some residual toxin (e.g., 1-5%) inactivated much more slowly.</w:t>
      </w:r>
      <w:r w:rsidRPr="00CA342E">
        <w:rPr>
          <w:rFonts w:ascii="Arial" w:hAnsi="Arial" w:cs="Arial"/>
          <w:position w:val="11"/>
          <w:sz w:val="20"/>
          <w:szCs w:val="20"/>
          <w:vertAlign w:val="superscript"/>
        </w:rPr>
        <w:t xml:space="preserve"> </w:t>
      </w:r>
      <w:r w:rsidRPr="00CA342E">
        <w:rPr>
          <w:rFonts w:ascii="Arial" w:hAnsi="Arial" w:cs="Arial"/>
          <w:sz w:val="20"/>
          <w:szCs w:val="20"/>
        </w:rPr>
        <w:t xml:space="preserve"> </w:t>
      </w:r>
    </w:p>
    <w:p w14:paraId="5F062005" w14:textId="77777777" w:rsidR="00B61B5C" w:rsidRPr="00CA342E" w:rsidRDefault="00B61B5C" w:rsidP="00A67685">
      <w:pPr>
        <w:pStyle w:val="CM2"/>
        <w:jc w:val="both"/>
        <w:rPr>
          <w:rFonts w:ascii="Arial" w:hAnsi="Arial" w:cs="Arial"/>
          <w:sz w:val="20"/>
          <w:szCs w:val="20"/>
        </w:rPr>
      </w:pPr>
      <w:r w:rsidRPr="00CA342E">
        <w:rPr>
          <w:rFonts w:ascii="Arial" w:hAnsi="Arial" w:cs="Arial"/>
          <w:sz w:val="20"/>
          <w:szCs w:val="20"/>
          <w:vertAlign w:val="superscript"/>
        </w:rPr>
        <w:t>c</w:t>
      </w:r>
      <w:r w:rsidRPr="00CA342E">
        <w:rPr>
          <w:rFonts w:ascii="Arial" w:hAnsi="Arial" w:cs="Arial"/>
          <w:sz w:val="20"/>
          <w:szCs w:val="20"/>
        </w:rPr>
        <w:t xml:space="preserve"> Measured using </w:t>
      </w:r>
      <w:proofErr w:type="spellStart"/>
      <w:r w:rsidRPr="00CA342E">
        <w:rPr>
          <w:rFonts w:ascii="Arial" w:hAnsi="Arial" w:cs="Arial"/>
          <w:sz w:val="20"/>
          <w:szCs w:val="20"/>
        </w:rPr>
        <w:t>BoNT</w:t>
      </w:r>
      <w:proofErr w:type="spellEnd"/>
      <w:r w:rsidRPr="00CA342E">
        <w:rPr>
          <w:rFonts w:ascii="Arial" w:hAnsi="Arial" w:cs="Arial"/>
          <w:sz w:val="20"/>
          <w:szCs w:val="20"/>
        </w:rPr>
        <w:t xml:space="preserve"> serotype A at -20°C in food matrices at pH 4.1-6.2 over a period of 180 days.</w:t>
      </w:r>
      <w:r w:rsidRPr="00CA342E">
        <w:rPr>
          <w:rFonts w:ascii="Arial" w:hAnsi="Arial" w:cs="Arial"/>
          <w:position w:val="11"/>
          <w:sz w:val="20"/>
          <w:szCs w:val="20"/>
          <w:vertAlign w:val="superscript"/>
        </w:rPr>
        <w:t xml:space="preserve"> </w:t>
      </w:r>
      <w:r w:rsidRPr="00CA342E">
        <w:rPr>
          <w:rFonts w:ascii="Arial" w:hAnsi="Arial" w:cs="Arial"/>
          <w:sz w:val="20"/>
          <w:szCs w:val="20"/>
        </w:rPr>
        <w:t xml:space="preserve"> </w:t>
      </w:r>
    </w:p>
    <w:p w14:paraId="090759BA" w14:textId="77777777" w:rsidR="00B61B5C" w:rsidRPr="00CA342E" w:rsidRDefault="00B61B5C" w:rsidP="00A67685">
      <w:pPr>
        <w:pStyle w:val="CM2"/>
        <w:jc w:val="both"/>
        <w:rPr>
          <w:rFonts w:ascii="Arial" w:hAnsi="Arial" w:cs="Arial"/>
          <w:sz w:val="20"/>
          <w:szCs w:val="20"/>
        </w:rPr>
      </w:pPr>
      <w:r w:rsidRPr="00CA342E">
        <w:rPr>
          <w:rFonts w:ascii="Arial" w:hAnsi="Arial" w:cs="Arial"/>
          <w:sz w:val="20"/>
          <w:szCs w:val="20"/>
          <w:vertAlign w:val="superscript"/>
        </w:rPr>
        <w:t>d</w:t>
      </w:r>
      <w:r w:rsidRPr="00CA342E">
        <w:rPr>
          <w:rFonts w:ascii="Arial" w:hAnsi="Arial" w:cs="Arial"/>
          <w:sz w:val="20"/>
          <w:szCs w:val="20"/>
        </w:rPr>
        <w:t xml:space="preserve"> Measured using </w:t>
      </w:r>
      <w:proofErr w:type="spellStart"/>
      <w:r w:rsidRPr="00CA342E">
        <w:rPr>
          <w:rFonts w:ascii="Arial" w:hAnsi="Arial" w:cs="Arial"/>
          <w:sz w:val="20"/>
          <w:szCs w:val="20"/>
        </w:rPr>
        <w:t>BoNT</w:t>
      </w:r>
      <w:proofErr w:type="spellEnd"/>
      <w:r w:rsidRPr="00CA342E">
        <w:rPr>
          <w:rFonts w:ascii="Arial" w:hAnsi="Arial" w:cs="Arial"/>
          <w:sz w:val="20"/>
          <w:szCs w:val="20"/>
        </w:rPr>
        <w:t xml:space="preserve"> serotypes A and B with gamma irradiation from a Co source.  </w:t>
      </w:r>
    </w:p>
    <w:p w14:paraId="7A09FC59" w14:textId="77777777" w:rsidR="00B61B5C" w:rsidRPr="00CA342E" w:rsidRDefault="00B61B5C" w:rsidP="00A67685">
      <w:pPr>
        <w:pStyle w:val="CM2"/>
        <w:jc w:val="both"/>
        <w:rPr>
          <w:rFonts w:ascii="Arial" w:hAnsi="Arial" w:cs="Arial"/>
          <w:position w:val="11"/>
          <w:sz w:val="20"/>
          <w:szCs w:val="20"/>
          <w:vertAlign w:val="superscript"/>
        </w:rPr>
      </w:pPr>
      <w:r w:rsidRPr="00CA342E">
        <w:rPr>
          <w:rFonts w:ascii="Arial" w:hAnsi="Arial" w:cs="Arial"/>
          <w:sz w:val="20"/>
          <w:szCs w:val="20"/>
          <w:vertAlign w:val="superscript"/>
        </w:rPr>
        <w:t>e</w:t>
      </w:r>
      <w:r w:rsidRPr="00CA342E">
        <w:rPr>
          <w:rFonts w:ascii="Arial" w:hAnsi="Arial" w:cs="Arial"/>
          <w:sz w:val="20"/>
          <w:szCs w:val="20"/>
        </w:rPr>
        <w:t xml:space="preserve"> Protracted steam autoclaving, similar to that described for </w:t>
      </w:r>
      <w:proofErr w:type="spellStart"/>
      <w:r w:rsidRPr="00CA342E">
        <w:rPr>
          <w:rFonts w:ascii="Arial" w:hAnsi="Arial" w:cs="Arial"/>
          <w:sz w:val="20"/>
          <w:szCs w:val="20"/>
        </w:rPr>
        <w:t>BoNT</w:t>
      </w:r>
      <w:proofErr w:type="spellEnd"/>
      <w:r w:rsidRPr="00CA342E">
        <w:rPr>
          <w:rFonts w:ascii="Arial" w:hAnsi="Arial" w:cs="Arial"/>
          <w:sz w:val="20"/>
          <w:szCs w:val="20"/>
        </w:rPr>
        <w:t xml:space="preserve">, followed by incineration is recommended for disposal of SE-contaminated materials. </w:t>
      </w:r>
      <w:r w:rsidRPr="00CA342E">
        <w:rPr>
          <w:rFonts w:ascii="Arial" w:hAnsi="Arial" w:cs="Arial"/>
          <w:position w:val="11"/>
          <w:sz w:val="20"/>
          <w:szCs w:val="20"/>
          <w:vertAlign w:val="superscript"/>
        </w:rPr>
        <w:t xml:space="preserve"> </w:t>
      </w:r>
    </w:p>
    <w:p w14:paraId="6C22E2FB" w14:textId="77777777" w:rsidR="00B61B5C" w:rsidRPr="00CA342E" w:rsidRDefault="00B61B5C" w:rsidP="00A67685">
      <w:pPr>
        <w:pStyle w:val="CM2"/>
        <w:jc w:val="both"/>
        <w:rPr>
          <w:rFonts w:ascii="Arial" w:hAnsi="Arial" w:cs="Arial"/>
          <w:sz w:val="20"/>
          <w:szCs w:val="20"/>
        </w:rPr>
      </w:pPr>
      <w:r w:rsidRPr="00CA342E">
        <w:rPr>
          <w:rFonts w:ascii="Arial" w:hAnsi="Arial" w:cs="Arial"/>
          <w:position w:val="11"/>
          <w:sz w:val="20"/>
          <w:szCs w:val="20"/>
          <w:vertAlign w:val="superscript"/>
        </w:rPr>
        <w:t>f</w:t>
      </w:r>
      <w:r w:rsidRPr="00CA342E">
        <w:rPr>
          <w:rFonts w:ascii="Arial" w:hAnsi="Arial" w:cs="Arial"/>
          <w:sz w:val="20"/>
          <w:szCs w:val="20"/>
        </w:rPr>
        <w:t>Inactivation may not be complete depending upon the extent of toxin re-folding after denaturation. Biological activity of SE can be retained despite heat and pressure treatment routinely used in canned food product processing.</w:t>
      </w:r>
      <w:r w:rsidRPr="00CA342E">
        <w:rPr>
          <w:rFonts w:ascii="Arial" w:hAnsi="Arial" w:cs="Arial"/>
          <w:position w:val="11"/>
          <w:sz w:val="20"/>
          <w:szCs w:val="20"/>
          <w:vertAlign w:val="superscript"/>
        </w:rPr>
        <w:t xml:space="preserve"> </w:t>
      </w:r>
      <w:r w:rsidRPr="00CA342E">
        <w:rPr>
          <w:rFonts w:ascii="Arial" w:hAnsi="Arial" w:cs="Arial"/>
          <w:sz w:val="20"/>
          <w:szCs w:val="20"/>
        </w:rPr>
        <w:t xml:space="preserve"> </w:t>
      </w:r>
    </w:p>
    <w:p w14:paraId="116AB2BE" w14:textId="77777777" w:rsidR="00B61B5C" w:rsidRPr="00CA342E" w:rsidRDefault="00B61B5C" w:rsidP="00A67685">
      <w:pPr>
        <w:pStyle w:val="CM2"/>
        <w:jc w:val="both"/>
        <w:rPr>
          <w:rFonts w:ascii="Arial" w:hAnsi="Arial" w:cs="Arial"/>
          <w:position w:val="11"/>
          <w:sz w:val="20"/>
          <w:szCs w:val="20"/>
          <w:vertAlign w:val="superscript"/>
        </w:rPr>
      </w:pPr>
      <w:r w:rsidRPr="00CA342E">
        <w:rPr>
          <w:rFonts w:ascii="Arial" w:hAnsi="Arial" w:cs="Arial"/>
          <w:sz w:val="20"/>
          <w:szCs w:val="20"/>
          <w:vertAlign w:val="superscript"/>
        </w:rPr>
        <w:t>g</w:t>
      </w:r>
      <w:r w:rsidRPr="00CA342E">
        <w:rPr>
          <w:rFonts w:ascii="Arial" w:hAnsi="Arial" w:cs="Arial"/>
          <w:sz w:val="20"/>
          <w:szCs w:val="20"/>
        </w:rPr>
        <w:t xml:space="preserve"> SE toxins are resistant to degradation from freezing, chilling or storage at ambient temperature.</w:t>
      </w:r>
      <w:r w:rsidRPr="00CA342E">
        <w:rPr>
          <w:rFonts w:ascii="Arial" w:hAnsi="Arial" w:cs="Arial"/>
          <w:position w:val="11"/>
          <w:sz w:val="20"/>
          <w:szCs w:val="20"/>
          <w:vertAlign w:val="superscript"/>
        </w:rPr>
        <w:t xml:space="preserve"> </w:t>
      </w:r>
      <w:r w:rsidRPr="00CA342E">
        <w:rPr>
          <w:rFonts w:ascii="Arial" w:hAnsi="Arial" w:cs="Arial"/>
          <w:sz w:val="20"/>
          <w:szCs w:val="20"/>
        </w:rPr>
        <w:t xml:space="preserve"> Active SEB in the freeze-dried state can be stored for years. </w:t>
      </w:r>
    </w:p>
    <w:p w14:paraId="4557EABB" w14:textId="77777777" w:rsidR="00B61B5C" w:rsidRPr="00CA342E" w:rsidRDefault="00B61B5C" w:rsidP="00A67685">
      <w:pPr>
        <w:pStyle w:val="CM2"/>
        <w:jc w:val="both"/>
        <w:rPr>
          <w:rFonts w:ascii="Arial" w:hAnsi="Arial" w:cs="Arial"/>
          <w:position w:val="11"/>
          <w:sz w:val="20"/>
          <w:szCs w:val="20"/>
        </w:rPr>
      </w:pPr>
      <w:r w:rsidRPr="00CA342E">
        <w:rPr>
          <w:rFonts w:ascii="Arial" w:hAnsi="Arial" w:cs="Arial"/>
          <w:position w:val="11"/>
          <w:sz w:val="20"/>
          <w:szCs w:val="20"/>
          <w:vertAlign w:val="superscript"/>
        </w:rPr>
        <w:t xml:space="preserve">h. </w:t>
      </w:r>
      <w:r w:rsidRPr="00CA342E">
        <w:rPr>
          <w:rFonts w:ascii="Arial" w:hAnsi="Arial" w:cs="Arial"/>
          <w:position w:val="11"/>
          <w:sz w:val="20"/>
          <w:szCs w:val="20"/>
        </w:rPr>
        <w:t xml:space="preserve">References </w:t>
      </w:r>
      <w:r w:rsidRPr="00CA342E">
        <w:rPr>
          <w:rFonts w:ascii="Arial" w:hAnsi="Arial" w:cs="Arial"/>
          <w:position w:val="11"/>
          <w:sz w:val="20"/>
          <w:szCs w:val="20"/>
          <w:vertAlign w:val="superscript"/>
        </w:rPr>
        <w:t>15,</w:t>
      </w:r>
      <w:proofErr w:type="gramStart"/>
      <w:r w:rsidRPr="00CA342E">
        <w:rPr>
          <w:rFonts w:ascii="Arial" w:hAnsi="Arial" w:cs="Arial"/>
          <w:position w:val="11"/>
          <w:sz w:val="20"/>
          <w:szCs w:val="20"/>
          <w:vertAlign w:val="superscript"/>
        </w:rPr>
        <w:t xml:space="preserve">16 </w:t>
      </w:r>
      <w:r w:rsidRPr="00CA342E">
        <w:rPr>
          <w:rFonts w:ascii="Arial" w:hAnsi="Arial" w:cs="Arial"/>
          <w:position w:val="11"/>
          <w:sz w:val="20"/>
          <w:szCs w:val="20"/>
        </w:rPr>
        <w:t xml:space="preserve"> in</w:t>
      </w:r>
      <w:proofErr w:type="gramEnd"/>
      <w:r w:rsidRPr="00CA342E">
        <w:rPr>
          <w:rFonts w:ascii="Arial" w:hAnsi="Arial" w:cs="Arial"/>
          <w:position w:val="11"/>
          <w:sz w:val="20"/>
          <w:szCs w:val="20"/>
        </w:rPr>
        <w:t xml:space="preserve"> BMBL</w:t>
      </w:r>
    </w:p>
    <w:p w14:paraId="58D4DB41" w14:textId="77777777" w:rsidR="00B61B5C" w:rsidRPr="00CA342E" w:rsidRDefault="00B61B5C" w:rsidP="00A67685">
      <w:pPr>
        <w:pStyle w:val="CM2"/>
        <w:jc w:val="both"/>
        <w:rPr>
          <w:rFonts w:ascii="Arial" w:hAnsi="Arial" w:cs="Arial"/>
          <w:position w:val="11"/>
          <w:sz w:val="20"/>
          <w:szCs w:val="20"/>
          <w:vertAlign w:val="superscript"/>
        </w:rPr>
      </w:pPr>
      <w:r w:rsidRPr="00CA342E">
        <w:rPr>
          <w:rFonts w:ascii="Arial" w:hAnsi="Arial" w:cs="Arial"/>
          <w:position w:val="11"/>
          <w:sz w:val="20"/>
          <w:szCs w:val="20"/>
          <w:vertAlign w:val="superscript"/>
        </w:rPr>
        <w:t xml:space="preserve">I </w:t>
      </w:r>
      <w:r w:rsidRPr="00CA342E">
        <w:rPr>
          <w:rFonts w:ascii="Arial" w:hAnsi="Arial" w:cs="Arial"/>
          <w:sz w:val="20"/>
          <w:szCs w:val="20"/>
        </w:rPr>
        <w:t xml:space="preserve">Dry heat of </w:t>
      </w:r>
      <w:r w:rsidRPr="00CA342E">
        <w:rPr>
          <w:rFonts w:ascii="Arial" w:hAnsi="Arial" w:cs="Arial"/>
          <w:sz w:val="20"/>
          <w:szCs w:val="20"/>
          <w:u w:val="single"/>
        </w:rPr>
        <w:t>&gt;</w:t>
      </w:r>
      <w:r w:rsidRPr="00CA342E">
        <w:rPr>
          <w:rFonts w:ascii="Arial" w:hAnsi="Arial" w:cs="Arial"/>
          <w:sz w:val="20"/>
          <w:szCs w:val="20"/>
        </w:rPr>
        <w:t xml:space="preserve">100ºC for 60 min in an </w:t>
      </w:r>
      <w:proofErr w:type="spellStart"/>
      <w:r w:rsidRPr="00CA342E">
        <w:rPr>
          <w:rFonts w:ascii="Arial" w:hAnsi="Arial" w:cs="Arial"/>
          <w:sz w:val="20"/>
          <w:szCs w:val="20"/>
        </w:rPr>
        <w:t>ashing</w:t>
      </w:r>
      <w:proofErr w:type="spellEnd"/>
      <w:r w:rsidRPr="00CA342E">
        <w:rPr>
          <w:rFonts w:ascii="Arial" w:hAnsi="Arial" w:cs="Arial"/>
          <w:sz w:val="20"/>
          <w:szCs w:val="20"/>
        </w:rPr>
        <w:t xml:space="preserve"> oven or steam autoclave treatment at &gt;121ºC for 1 h reduced the activity of pure </w:t>
      </w:r>
      <w:proofErr w:type="spellStart"/>
      <w:r w:rsidRPr="00CA342E">
        <w:rPr>
          <w:rFonts w:ascii="Arial" w:hAnsi="Arial" w:cs="Arial"/>
          <w:sz w:val="20"/>
          <w:szCs w:val="20"/>
        </w:rPr>
        <w:t>ri</w:t>
      </w:r>
      <w:r>
        <w:rPr>
          <w:rFonts w:ascii="Arial" w:hAnsi="Arial" w:cs="Arial"/>
          <w:sz w:val="20"/>
          <w:szCs w:val="20"/>
        </w:rPr>
        <w:t>a</w:t>
      </w:r>
      <w:r w:rsidRPr="00CA342E">
        <w:rPr>
          <w:rFonts w:ascii="Arial" w:hAnsi="Arial" w:cs="Arial"/>
          <w:sz w:val="20"/>
          <w:szCs w:val="20"/>
        </w:rPr>
        <w:t>cin</w:t>
      </w:r>
      <w:proofErr w:type="spellEnd"/>
      <w:r w:rsidRPr="00CA342E">
        <w:rPr>
          <w:rFonts w:ascii="Arial" w:hAnsi="Arial" w:cs="Arial"/>
          <w:sz w:val="20"/>
          <w:szCs w:val="20"/>
        </w:rPr>
        <w:t xml:space="preserve"> by &gt;99%. Heat inactivation of impure toxin preparations (e.g. crude </w:t>
      </w:r>
      <w:proofErr w:type="spellStart"/>
      <w:r w:rsidRPr="00CA342E">
        <w:rPr>
          <w:rFonts w:ascii="Arial" w:hAnsi="Arial" w:cs="Arial"/>
          <w:sz w:val="20"/>
          <w:szCs w:val="20"/>
        </w:rPr>
        <w:t>ri</w:t>
      </w:r>
      <w:r>
        <w:rPr>
          <w:rFonts w:ascii="Arial" w:hAnsi="Arial" w:cs="Arial"/>
          <w:sz w:val="20"/>
          <w:szCs w:val="20"/>
        </w:rPr>
        <w:t>a</w:t>
      </w:r>
      <w:r w:rsidRPr="00CA342E">
        <w:rPr>
          <w:rFonts w:ascii="Arial" w:hAnsi="Arial" w:cs="Arial"/>
          <w:sz w:val="20"/>
          <w:szCs w:val="20"/>
        </w:rPr>
        <w:t>cin</w:t>
      </w:r>
      <w:proofErr w:type="spellEnd"/>
      <w:r w:rsidRPr="00CA342E">
        <w:rPr>
          <w:rFonts w:ascii="Arial" w:hAnsi="Arial" w:cs="Arial"/>
          <w:sz w:val="20"/>
          <w:szCs w:val="20"/>
        </w:rPr>
        <w:t xml:space="preserve"> plant extracts) may vary. Heat-denatured ricin can undergo limited refolding (&lt;1%) to yield active toxin.  Ricin holotoxin is not inactivated significantly by freezing, chilling or storage at ambient temperature. In the liquid state with a preservative (sodium </w:t>
      </w:r>
      <w:proofErr w:type="spellStart"/>
      <w:r w:rsidRPr="00CA342E">
        <w:rPr>
          <w:rFonts w:ascii="Arial" w:hAnsi="Arial" w:cs="Arial"/>
          <w:sz w:val="20"/>
          <w:szCs w:val="20"/>
        </w:rPr>
        <w:t>azide</w:t>
      </w:r>
      <w:proofErr w:type="spellEnd"/>
      <w:r w:rsidRPr="00CA342E">
        <w:rPr>
          <w:rFonts w:ascii="Arial" w:hAnsi="Arial" w:cs="Arial"/>
          <w:sz w:val="20"/>
          <w:szCs w:val="20"/>
        </w:rPr>
        <w:t xml:space="preserve">), ricin can be stored at 4ºC for years with little loss in potency. </w:t>
      </w:r>
      <w:r w:rsidRPr="00CA342E">
        <w:rPr>
          <w:rFonts w:ascii="Arial" w:hAnsi="Arial" w:cs="Arial"/>
          <w:position w:val="11"/>
          <w:sz w:val="20"/>
          <w:szCs w:val="20"/>
          <w:vertAlign w:val="superscript"/>
        </w:rPr>
        <w:t xml:space="preserve"> </w:t>
      </w:r>
    </w:p>
    <w:p w14:paraId="78EC25DA" w14:textId="77777777" w:rsidR="00B61B5C" w:rsidRPr="00CA342E" w:rsidRDefault="00B61B5C" w:rsidP="00A67685">
      <w:pPr>
        <w:pStyle w:val="CM2"/>
        <w:jc w:val="both"/>
        <w:rPr>
          <w:rFonts w:ascii="Arial" w:hAnsi="Arial" w:cs="Arial"/>
          <w:position w:val="11"/>
          <w:sz w:val="20"/>
          <w:szCs w:val="20"/>
          <w:vertAlign w:val="superscript"/>
        </w:rPr>
      </w:pPr>
      <w:r w:rsidRPr="00CA342E">
        <w:rPr>
          <w:rFonts w:ascii="Arial" w:hAnsi="Arial" w:cs="Arial"/>
          <w:position w:val="11"/>
          <w:sz w:val="20"/>
          <w:szCs w:val="20"/>
          <w:vertAlign w:val="superscript"/>
        </w:rPr>
        <w:t>k</w:t>
      </w:r>
      <w:r w:rsidRPr="00CA342E">
        <w:rPr>
          <w:rFonts w:ascii="Arial" w:hAnsi="Arial" w:cs="Arial"/>
          <w:sz w:val="20"/>
          <w:szCs w:val="20"/>
        </w:rPr>
        <w:t xml:space="preserve">Irradiation causes a dose-dependent loss of activity for aqueous solutions of ricin, but complete inactivation is difficult to achieve; 75 </w:t>
      </w:r>
      <w:proofErr w:type="spellStart"/>
      <w:r w:rsidRPr="00CA342E">
        <w:rPr>
          <w:rFonts w:ascii="Arial" w:hAnsi="Arial" w:cs="Arial"/>
          <w:sz w:val="20"/>
          <w:szCs w:val="20"/>
        </w:rPr>
        <w:t>MRad</w:t>
      </w:r>
      <w:proofErr w:type="spellEnd"/>
      <w:r w:rsidRPr="00CA342E">
        <w:rPr>
          <w:rFonts w:ascii="Arial" w:hAnsi="Arial" w:cs="Arial"/>
          <w:sz w:val="20"/>
          <w:szCs w:val="20"/>
        </w:rPr>
        <w:t xml:space="preserve"> reduced activity 90%, but complete inactivation was not achieved even at 100 </w:t>
      </w:r>
      <w:proofErr w:type="spellStart"/>
      <w:r w:rsidRPr="00CA342E">
        <w:rPr>
          <w:rFonts w:ascii="Arial" w:hAnsi="Arial" w:cs="Arial"/>
          <w:sz w:val="20"/>
          <w:szCs w:val="20"/>
        </w:rPr>
        <w:t>MRad</w:t>
      </w:r>
      <w:proofErr w:type="spellEnd"/>
      <w:r w:rsidRPr="00CA342E">
        <w:rPr>
          <w:rFonts w:ascii="Arial" w:hAnsi="Arial" w:cs="Arial"/>
          <w:sz w:val="20"/>
          <w:szCs w:val="20"/>
        </w:rPr>
        <w:t xml:space="preserve">. Gamma irradiation from a laboratory Co source can be used to partially inactivate aqueous solutions of ricin, but dried ricin powders are significantly resistant to inactivation by this method. </w:t>
      </w:r>
      <w:r w:rsidRPr="00CA342E">
        <w:rPr>
          <w:rFonts w:ascii="Arial" w:hAnsi="Arial" w:cs="Arial"/>
          <w:position w:val="11"/>
          <w:sz w:val="20"/>
          <w:szCs w:val="20"/>
          <w:vertAlign w:val="superscript"/>
        </w:rPr>
        <w:t xml:space="preserve"> </w:t>
      </w:r>
    </w:p>
    <w:p w14:paraId="167502DA" w14:textId="77777777" w:rsidR="00B61B5C" w:rsidRPr="00CA342E" w:rsidRDefault="00B61B5C" w:rsidP="00A67685">
      <w:pPr>
        <w:pStyle w:val="CM2"/>
        <w:jc w:val="both"/>
        <w:rPr>
          <w:rFonts w:ascii="Arial" w:hAnsi="Arial" w:cs="Arial"/>
          <w:position w:val="11"/>
          <w:sz w:val="20"/>
          <w:szCs w:val="20"/>
          <w:vertAlign w:val="superscript"/>
        </w:rPr>
      </w:pPr>
      <w:r w:rsidRPr="00CA342E">
        <w:rPr>
          <w:rFonts w:ascii="Arial" w:hAnsi="Arial" w:cs="Arial"/>
          <w:position w:val="11"/>
          <w:sz w:val="20"/>
          <w:szCs w:val="20"/>
          <w:vertAlign w:val="superscript"/>
        </w:rPr>
        <w:t>l</w:t>
      </w:r>
      <w:r w:rsidRPr="00CA342E">
        <w:rPr>
          <w:rFonts w:ascii="Arial" w:hAnsi="Arial" w:cs="Arial"/>
          <w:sz w:val="20"/>
          <w:szCs w:val="20"/>
        </w:rPr>
        <w:t>Autoclaving with 17 lb pressure (121-132</w:t>
      </w:r>
      <w:r w:rsidRPr="00CA342E">
        <w:rPr>
          <w:rFonts w:ascii="Arial" w:hAnsi="Arial" w:cs="Arial"/>
          <w:position w:val="11"/>
          <w:sz w:val="20"/>
          <w:szCs w:val="20"/>
          <w:vertAlign w:val="superscript"/>
        </w:rPr>
        <w:t>o</w:t>
      </w:r>
      <w:r w:rsidRPr="00CA342E">
        <w:rPr>
          <w:rFonts w:ascii="Arial" w:hAnsi="Arial" w:cs="Arial"/>
          <w:sz w:val="20"/>
          <w:szCs w:val="20"/>
        </w:rPr>
        <w:t>C) for 30 min failed to inactivate LMW toxins. All burnable waste from LMW toxins should be incinerated at temperatures in excess of 815°C (1,500</w:t>
      </w:r>
      <w:r w:rsidRPr="00CA342E">
        <w:rPr>
          <w:rFonts w:ascii="Arial" w:hAnsi="Arial" w:cs="Arial"/>
          <w:position w:val="11"/>
          <w:sz w:val="20"/>
          <w:szCs w:val="20"/>
          <w:vertAlign w:val="superscript"/>
        </w:rPr>
        <w:t>o</w:t>
      </w:r>
      <w:r w:rsidRPr="00CA342E">
        <w:rPr>
          <w:rFonts w:ascii="Arial" w:hAnsi="Arial" w:cs="Arial"/>
          <w:sz w:val="20"/>
          <w:szCs w:val="20"/>
        </w:rPr>
        <w:t>F).</w:t>
      </w:r>
      <w:r w:rsidRPr="00CA342E">
        <w:rPr>
          <w:rFonts w:ascii="Arial" w:hAnsi="Arial" w:cs="Arial"/>
          <w:position w:val="11"/>
          <w:sz w:val="20"/>
          <w:szCs w:val="20"/>
          <w:vertAlign w:val="superscript"/>
        </w:rPr>
        <w:t xml:space="preserve">  </w:t>
      </w:r>
    </w:p>
    <w:p w14:paraId="21FB12FB" w14:textId="77777777" w:rsidR="00B61B5C" w:rsidRPr="00CA342E" w:rsidRDefault="00B61B5C" w:rsidP="00A67685">
      <w:pPr>
        <w:pStyle w:val="CM2"/>
        <w:jc w:val="both"/>
        <w:rPr>
          <w:rFonts w:ascii="Arial" w:hAnsi="Arial" w:cs="Arial"/>
          <w:position w:val="11"/>
          <w:sz w:val="20"/>
          <w:szCs w:val="20"/>
          <w:vertAlign w:val="superscript"/>
        </w:rPr>
      </w:pPr>
      <w:r w:rsidRPr="00CA342E">
        <w:rPr>
          <w:rFonts w:ascii="Arial" w:hAnsi="Arial" w:cs="Arial"/>
          <w:position w:val="11"/>
          <w:sz w:val="20"/>
          <w:szCs w:val="20"/>
          <w:vertAlign w:val="superscript"/>
        </w:rPr>
        <w:t xml:space="preserve">m </w:t>
      </w:r>
      <w:r w:rsidRPr="00CA342E">
        <w:rPr>
          <w:rFonts w:ascii="Arial" w:hAnsi="Arial" w:cs="Arial"/>
          <w:sz w:val="20"/>
          <w:szCs w:val="20"/>
        </w:rPr>
        <w:t>Toxin solutions were dried at 150</w:t>
      </w:r>
      <w:r w:rsidRPr="00CA342E">
        <w:rPr>
          <w:rFonts w:ascii="Arial" w:hAnsi="Arial" w:cs="Arial"/>
          <w:position w:val="11"/>
          <w:sz w:val="20"/>
          <w:szCs w:val="20"/>
          <w:vertAlign w:val="superscript"/>
        </w:rPr>
        <w:t>o</w:t>
      </w:r>
      <w:r w:rsidRPr="00CA342E">
        <w:rPr>
          <w:rFonts w:ascii="Arial" w:hAnsi="Arial" w:cs="Arial"/>
          <w:sz w:val="20"/>
          <w:szCs w:val="20"/>
        </w:rPr>
        <w:t xml:space="preserve">C in a crucible, placed in an </w:t>
      </w:r>
      <w:proofErr w:type="spellStart"/>
      <w:r w:rsidRPr="00CA342E">
        <w:rPr>
          <w:rFonts w:ascii="Arial" w:hAnsi="Arial" w:cs="Arial"/>
          <w:sz w:val="20"/>
          <w:szCs w:val="20"/>
        </w:rPr>
        <w:t>ashing</w:t>
      </w:r>
      <w:proofErr w:type="spellEnd"/>
      <w:r w:rsidRPr="00CA342E">
        <w:rPr>
          <w:rFonts w:ascii="Arial" w:hAnsi="Arial" w:cs="Arial"/>
          <w:sz w:val="20"/>
          <w:szCs w:val="20"/>
        </w:rPr>
        <w:t xml:space="preserve"> oven at various temperatures for either 10 or 30 min, reconstituted and tested for concentration and/or activity; tabulated values are temperatures exceeding those required to achieve 99% toxin inactivation.</w:t>
      </w:r>
      <w:r w:rsidRPr="00CA342E">
        <w:rPr>
          <w:rFonts w:ascii="Arial" w:hAnsi="Arial" w:cs="Arial"/>
          <w:position w:val="11"/>
          <w:sz w:val="20"/>
          <w:szCs w:val="20"/>
          <w:vertAlign w:val="superscript"/>
        </w:rPr>
        <w:t xml:space="preserve">   </w:t>
      </w:r>
    </w:p>
    <w:p w14:paraId="3813D9FC" w14:textId="77777777" w:rsidR="00B61B5C" w:rsidRPr="00CA342E" w:rsidRDefault="00B61B5C" w:rsidP="00A67685">
      <w:pPr>
        <w:pStyle w:val="CM2"/>
        <w:jc w:val="both"/>
        <w:rPr>
          <w:rFonts w:ascii="Arial" w:hAnsi="Arial" w:cs="Arial"/>
          <w:sz w:val="20"/>
          <w:szCs w:val="20"/>
        </w:rPr>
      </w:pPr>
      <w:r w:rsidRPr="00CA342E">
        <w:rPr>
          <w:rFonts w:ascii="Arial" w:hAnsi="Arial" w:cs="Arial"/>
          <w:position w:val="11"/>
          <w:sz w:val="20"/>
          <w:szCs w:val="20"/>
          <w:vertAlign w:val="superscript"/>
        </w:rPr>
        <w:t xml:space="preserve">n </w:t>
      </w:r>
      <w:r w:rsidRPr="00CA342E">
        <w:rPr>
          <w:rFonts w:ascii="Arial" w:hAnsi="Arial" w:cs="Arial"/>
          <w:sz w:val="20"/>
          <w:szCs w:val="20"/>
        </w:rPr>
        <w:t xml:space="preserve">LMW toxins are generally very resistant to temperature fluctuations and can be stored in the freeze-dried state for years and retain toxicity. </w:t>
      </w:r>
    </w:p>
    <w:p w14:paraId="6C9E783A" w14:textId="77777777" w:rsidR="00B61B5C" w:rsidRDefault="00B61B5C" w:rsidP="00A67685">
      <w:pPr>
        <w:jc w:val="both"/>
        <w:rPr>
          <w:rFonts w:ascii="Arial" w:hAnsi="Arial" w:cs="Arial"/>
          <w:sz w:val="20"/>
          <w:szCs w:val="20"/>
        </w:rPr>
      </w:pPr>
    </w:p>
    <w:p w14:paraId="1677478D" w14:textId="77777777" w:rsidR="00B61B5C" w:rsidRDefault="00B61B5C" w:rsidP="00A67685">
      <w:pPr>
        <w:jc w:val="both"/>
        <w:rPr>
          <w:rFonts w:ascii="Arial" w:hAnsi="Arial" w:cs="Arial"/>
          <w:sz w:val="20"/>
          <w:szCs w:val="20"/>
        </w:rPr>
      </w:pPr>
    </w:p>
    <w:p w14:paraId="7900B713" w14:textId="37555553" w:rsidR="00A67685" w:rsidRDefault="00A67685">
      <w:pPr>
        <w:rPr>
          <w:rFonts w:ascii="Arial" w:hAnsi="Arial" w:cs="Arial"/>
          <w:sz w:val="20"/>
          <w:szCs w:val="20"/>
        </w:rPr>
      </w:pPr>
      <w:r>
        <w:rPr>
          <w:rFonts w:ascii="Arial" w:hAnsi="Arial" w:cs="Arial"/>
          <w:sz w:val="20"/>
          <w:szCs w:val="20"/>
        </w:rPr>
        <w:br w:type="page"/>
      </w:r>
    </w:p>
    <w:p w14:paraId="2B7C3F5A" w14:textId="77777777" w:rsidR="00B61B5C" w:rsidRPr="00CA342E" w:rsidRDefault="00B61B5C" w:rsidP="00B61B5C">
      <w:pPr>
        <w:pStyle w:val="CM7"/>
        <w:spacing w:line="231" w:lineRule="atLeast"/>
        <w:jc w:val="center"/>
        <w:rPr>
          <w:rFonts w:ascii="Arial" w:hAnsi="Arial" w:cs="Arial"/>
          <w:sz w:val="20"/>
          <w:szCs w:val="20"/>
        </w:rPr>
      </w:pPr>
      <w:r w:rsidRPr="00CA342E">
        <w:rPr>
          <w:rFonts w:ascii="Arial" w:hAnsi="Arial" w:cs="Arial"/>
          <w:b/>
          <w:bCs/>
          <w:sz w:val="20"/>
          <w:szCs w:val="20"/>
        </w:rPr>
        <w:lastRenderedPageBreak/>
        <w:t xml:space="preserve">TABLE 2: CHEMICAL INACTIVATION OF SELECTED TOXINS </w:t>
      </w:r>
    </w:p>
    <w:p w14:paraId="58972574" w14:textId="77777777" w:rsidR="00B61B5C" w:rsidRPr="00CA342E" w:rsidRDefault="00B61B5C" w:rsidP="00B61B5C">
      <w:pPr>
        <w:rPr>
          <w:rFonts w:ascii="Arial" w:hAnsi="Arial" w:cs="Arial"/>
          <w:sz w:val="20"/>
          <w:szCs w:val="20"/>
        </w:rPr>
      </w:pPr>
    </w:p>
    <w:tbl>
      <w:tblPr>
        <w:tblW w:w="0" w:type="auto"/>
        <w:tblInd w:w="949" w:type="dxa"/>
        <w:tblBorders>
          <w:top w:val="nil"/>
          <w:left w:val="nil"/>
          <w:bottom w:val="nil"/>
          <w:right w:val="nil"/>
        </w:tblBorders>
        <w:tblLayout w:type="fixed"/>
        <w:tblLook w:val="0000" w:firstRow="0" w:lastRow="0" w:firstColumn="0" w:lastColumn="0" w:noHBand="0" w:noVBand="0"/>
      </w:tblPr>
      <w:tblGrid>
        <w:gridCol w:w="2375"/>
        <w:gridCol w:w="1637"/>
        <w:gridCol w:w="1200"/>
        <w:gridCol w:w="2012"/>
        <w:gridCol w:w="1507"/>
      </w:tblGrid>
      <w:tr w:rsidR="00B61B5C" w:rsidRPr="00CA342E" w14:paraId="67CACD3A" w14:textId="77777777" w:rsidTr="008C1EC7">
        <w:trPr>
          <w:trHeight w:val="482"/>
        </w:trPr>
        <w:tc>
          <w:tcPr>
            <w:tcW w:w="2375" w:type="dxa"/>
            <w:tcBorders>
              <w:top w:val="single" w:sz="6" w:space="0" w:color="000000"/>
              <w:left w:val="single" w:sz="4" w:space="0" w:color="000000"/>
              <w:bottom w:val="single" w:sz="4" w:space="0" w:color="000000"/>
              <w:right w:val="single" w:sz="4" w:space="0" w:color="000000"/>
            </w:tcBorders>
          </w:tcPr>
          <w:p w14:paraId="3984B11A" w14:textId="77777777" w:rsidR="00B61B5C" w:rsidRPr="00CA342E" w:rsidRDefault="00B61B5C" w:rsidP="008C1EC7">
            <w:pPr>
              <w:pStyle w:val="Default"/>
              <w:jc w:val="center"/>
              <w:rPr>
                <w:rFonts w:ascii="Arial" w:hAnsi="Arial" w:cs="Arial"/>
                <w:sz w:val="20"/>
                <w:szCs w:val="20"/>
              </w:rPr>
            </w:pPr>
            <w:r w:rsidRPr="00CA342E">
              <w:rPr>
                <w:rFonts w:ascii="Arial" w:hAnsi="Arial" w:cs="Arial"/>
                <w:b/>
                <w:bCs/>
                <w:sz w:val="20"/>
                <w:szCs w:val="20"/>
              </w:rPr>
              <w:t>TOXIN</w:t>
            </w:r>
          </w:p>
        </w:tc>
        <w:tc>
          <w:tcPr>
            <w:tcW w:w="1637" w:type="dxa"/>
            <w:tcBorders>
              <w:top w:val="single" w:sz="6" w:space="0" w:color="000000"/>
              <w:left w:val="single" w:sz="4" w:space="0" w:color="000000"/>
              <w:bottom w:val="single" w:sz="4" w:space="0" w:color="000000"/>
              <w:right w:val="single" w:sz="4" w:space="0" w:color="000000"/>
            </w:tcBorders>
          </w:tcPr>
          <w:p w14:paraId="328B03BE" w14:textId="77777777" w:rsidR="00B61B5C" w:rsidRPr="00CA342E" w:rsidRDefault="00B61B5C" w:rsidP="008C1EC7">
            <w:pPr>
              <w:pStyle w:val="Default"/>
              <w:jc w:val="center"/>
              <w:rPr>
                <w:rFonts w:ascii="Arial" w:hAnsi="Arial" w:cs="Arial"/>
                <w:sz w:val="20"/>
                <w:szCs w:val="20"/>
              </w:rPr>
            </w:pPr>
            <w:r w:rsidRPr="00CA342E">
              <w:rPr>
                <w:rFonts w:ascii="Arial" w:hAnsi="Arial" w:cs="Arial"/>
                <w:b/>
                <w:bCs/>
                <w:sz w:val="20"/>
                <w:szCs w:val="20"/>
              </w:rPr>
              <w:t>NAOCL (30 MIN)</w:t>
            </w:r>
          </w:p>
        </w:tc>
        <w:tc>
          <w:tcPr>
            <w:tcW w:w="1200" w:type="dxa"/>
            <w:tcBorders>
              <w:top w:val="single" w:sz="6" w:space="0" w:color="000000"/>
              <w:left w:val="single" w:sz="4" w:space="0" w:color="000000"/>
              <w:bottom w:val="single" w:sz="4" w:space="0" w:color="000000"/>
              <w:right w:val="single" w:sz="4" w:space="0" w:color="000000"/>
            </w:tcBorders>
          </w:tcPr>
          <w:p w14:paraId="1A1B6CF0" w14:textId="77777777" w:rsidR="00B61B5C" w:rsidRPr="00CA342E" w:rsidRDefault="00B61B5C" w:rsidP="008C1EC7">
            <w:pPr>
              <w:pStyle w:val="Default"/>
              <w:jc w:val="center"/>
              <w:rPr>
                <w:rFonts w:ascii="Arial" w:hAnsi="Arial" w:cs="Arial"/>
                <w:sz w:val="20"/>
                <w:szCs w:val="20"/>
              </w:rPr>
            </w:pPr>
            <w:r w:rsidRPr="00CA342E">
              <w:rPr>
                <w:rFonts w:ascii="Arial" w:hAnsi="Arial" w:cs="Arial"/>
                <w:b/>
                <w:bCs/>
                <w:sz w:val="20"/>
                <w:szCs w:val="20"/>
              </w:rPr>
              <w:t>NAOH (30 MIN)</w:t>
            </w:r>
          </w:p>
        </w:tc>
        <w:tc>
          <w:tcPr>
            <w:tcW w:w="2012" w:type="dxa"/>
            <w:tcBorders>
              <w:top w:val="single" w:sz="6" w:space="0" w:color="000000"/>
              <w:left w:val="single" w:sz="4" w:space="0" w:color="000000"/>
              <w:bottom w:val="single" w:sz="4" w:space="0" w:color="000000"/>
              <w:right w:val="single" w:sz="4" w:space="0" w:color="000000"/>
            </w:tcBorders>
          </w:tcPr>
          <w:p w14:paraId="292EEFA8" w14:textId="77777777" w:rsidR="00B61B5C" w:rsidRPr="00CA342E" w:rsidRDefault="00B61B5C" w:rsidP="008C1EC7">
            <w:pPr>
              <w:pStyle w:val="Default"/>
              <w:jc w:val="center"/>
              <w:rPr>
                <w:rFonts w:ascii="Arial" w:hAnsi="Arial" w:cs="Arial"/>
                <w:sz w:val="20"/>
                <w:szCs w:val="20"/>
              </w:rPr>
            </w:pPr>
            <w:r w:rsidRPr="00CA342E">
              <w:rPr>
                <w:rFonts w:ascii="Arial" w:hAnsi="Arial" w:cs="Arial"/>
                <w:b/>
                <w:bCs/>
                <w:sz w:val="20"/>
                <w:szCs w:val="20"/>
              </w:rPr>
              <w:t>NAOCL + NAOH (30 MIN)</w:t>
            </w:r>
          </w:p>
        </w:tc>
        <w:tc>
          <w:tcPr>
            <w:tcW w:w="1507" w:type="dxa"/>
            <w:tcBorders>
              <w:top w:val="single" w:sz="6" w:space="0" w:color="000000"/>
              <w:left w:val="single" w:sz="4" w:space="0" w:color="000000"/>
              <w:bottom w:val="single" w:sz="4" w:space="0" w:color="000000"/>
              <w:right w:val="single" w:sz="4" w:space="0" w:color="000000"/>
            </w:tcBorders>
          </w:tcPr>
          <w:p w14:paraId="08ACC9EA" w14:textId="77777777" w:rsidR="00B61B5C" w:rsidRPr="00CA342E" w:rsidRDefault="00B61B5C" w:rsidP="008C1EC7">
            <w:pPr>
              <w:pStyle w:val="Default"/>
              <w:jc w:val="center"/>
              <w:rPr>
                <w:rFonts w:ascii="Arial" w:hAnsi="Arial" w:cs="Arial"/>
                <w:sz w:val="20"/>
                <w:szCs w:val="20"/>
              </w:rPr>
            </w:pPr>
            <w:r w:rsidRPr="00CA342E">
              <w:rPr>
                <w:rFonts w:ascii="Arial" w:hAnsi="Arial" w:cs="Arial"/>
                <w:b/>
                <w:bCs/>
                <w:sz w:val="20"/>
                <w:szCs w:val="20"/>
              </w:rPr>
              <w:t>OZONE TREATMENT</w:t>
            </w:r>
          </w:p>
        </w:tc>
      </w:tr>
      <w:tr w:rsidR="00B61B5C" w:rsidRPr="00CA342E" w14:paraId="19CEFD15" w14:textId="77777777" w:rsidTr="008C1EC7">
        <w:trPr>
          <w:trHeight w:val="470"/>
        </w:trPr>
        <w:tc>
          <w:tcPr>
            <w:tcW w:w="2375" w:type="dxa"/>
            <w:tcBorders>
              <w:top w:val="single" w:sz="4" w:space="0" w:color="000000"/>
              <w:left w:val="single" w:sz="4" w:space="0" w:color="000000"/>
              <w:bottom w:val="single" w:sz="4" w:space="0" w:color="000000"/>
              <w:right w:val="single" w:sz="4" w:space="0" w:color="000000"/>
            </w:tcBorders>
          </w:tcPr>
          <w:p w14:paraId="6A302540"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Botulinum neurotoxin</w:t>
            </w:r>
          </w:p>
        </w:tc>
        <w:tc>
          <w:tcPr>
            <w:tcW w:w="1637" w:type="dxa"/>
            <w:tcBorders>
              <w:top w:val="single" w:sz="4" w:space="0" w:color="000000"/>
              <w:left w:val="single" w:sz="4" w:space="0" w:color="000000"/>
              <w:bottom w:val="single" w:sz="4" w:space="0" w:color="000000"/>
              <w:right w:val="single" w:sz="4" w:space="0" w:color="000000"/>
            </w:tcBorders>
          </w:tcPr>
          <w:p w14:paraId="5411F9C4"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&gt; 0.1%</w:t>
            </w:r>
            <w:r w:rsidRPr="005C7FA6">
              <w:rPr>
                <w:rFonts w:ascii="Arial" w:hAnsi="Arial" w:cs="Arial"/>
                <w:sz w:val="20"/>
                <w:szCs w:val="20"/>
              </w:rPr>
              <w:t>*</w:t>
            </w:r>
          </w:p>
        </w:tc>
        <w:tc>
          <w:tcPr>
            <w:tcW w:w="1200" w:type="dxa"/>
            <w:tcBorders>
              <w:top w:val="single" w:sz="4" w:space="0" w:color="000000"/>
              <w:left w:val="single" w:sz="4" w:space="0" w:color="000000"/>
              <w:bottom w:val="single" w:sz="4" w:space="0" w:color="000000"/>
              <w:right w:val="single" w:sz="4" w:space="0" w:color="000000"/>
            </w:tcBorders>
          </w:tcPr>
          <w:p w14:paraId="50A7B529"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&gt;0.25 N</w:t>
            </w:r>
          </w:p>
        </w:tc>
        <w:tc>
          <w:tcPr>
            <w:tcW w:w="2012" w:type="dxa"/>
            <w:tcBorders>
              <w:top w:val="single" w:sz="4" w:space="0" w:color="000000"/>
              <w:left w:val="single" w:sz="4" w:space="0" w:color="000000"/>
              <w:bottom w:val="single" w:sz="4" w:space="0" w:color="000000"/>
              <w:right w:val="single" w:sz="4" w:space="0" w:color="000000"/>
            </w:tcBorders>
          </w:tcPr>
          <w:p w14:paraId="4CDDC162"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c>
          <w:tcPr>
            <w:tcW w:w="1507" w:type="dxa"/>
            <w:tcBorders>
              <w:top w:val="single" w:sz="4" w:space="0" w:color="000000"/>
              <w:left w:val="single" w:sz="4" w:space="0" w:color="000000"/>
              <w:bottom w:val="single" w:sz="4" w:space="0" w:color="000000"/>
              <w:right w:val="single" w:sz="4" w:space="0" w:color="000000"/>
            </w:tcBorders>
          </w:tcPr>
          <w:p w14:paraId="72509E1F"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Yes</w:t>
            </w:r>
            <w:r>
              <w:rPr>
                <w:rFonts w:ascii="Arial" w:hAnsi="Arial" w:cs="Arial"/>
                <w:sz w:val="20"/>
                <w:szCs w:val="20"/>
              </w:rPr>
              <w:t>**</w:t>
            </w:r>
          </w:p>
        </w:tc>
      </w:tr>
      <w:tr w:rsidR="00B61B5C" w:rsidRPr="00CA342E" w14:paraId="2C04FC1E" w14:textId="77777777" w:rsidTr="008C1EC7">
        <w:trPr>
          <w:trHeight w:val="470"/>
        </w:trPr>
        <w:tc>
          <w:tcPr>
            <w:tcW w:w="2375" w:type="dxa"/>
            <w:tcBorders>
              <w:top w:val="single" w:sz="4" w:space="0" w:color="000000"/>
              <w:left w:val="single" w:sz="4" w:space="0" w:color="000000"/>
              <w:bottom w:val="single" w:sz="4" w:space="0" w:color="000000"/>
              <w:right w:val="single" w:sz="4" w:space="0" w:color="000000"/>
            </w:tcBorders>
          </w:tcPr>
          <w:p w14:paraId="34CFBECF"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Staphylococcal enterotoxin</w:t>
            </w:r>
          </w:p>
        </w:tc>
        <w:tc>
          <w:tcPr>
            <w:tcW w:w="1637" w:type="dxa"/>
            <w:tcBorders>
              <w:top w:val="single" w:sz="4" w:space="0" w:color="000000"/>
              <w:left w:val="single" w:sz="4" w:space="0" w:color="000000"/>
              <w:bottom w:val="single" w:sz="4" w:space="0" w:color="000000"/>
              <w:right w:val="single" w:sz="4" w:space="0" w:color="000000"/>
            </w:tcBorders>
          </w:tcPr>
          <w:p w14:paraId="20D7DD2C"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&gt; 0.5%</w:t>
            </w:r>
            <w:r w:rsidRPr="005C7FA6">
              <w:rPr>
                <w:rFonts w:ascii="Arial" w:hAnsi="Arial" w:cs="Arial"/>
                <w:sz w:val="20"/>
                <w:szCs w:val="20"/>
              </w:rPr>
              <w:t>***</w:t>
            </w:r>
          </w:p>
        </w:tc>
        <w:tc>
          <w:tcPr>
            <w:tcW w:w="1200" w:type="dxa"/>
            <w:tcBorders>
              <w:top w:val="single" w:sz="4" w:space="0" w:color="000000"/>
              <w:left w:val="single" w:sz="4" w:space="0" w:color="000000"/>
              <w:bottom w:val="single" w:sz="4" w:space="0" w:color="000000"/>
              <w:right w:val="single" w:sz="4" w:space="0" w:color="000000"/>
            </w:tcBorders>
          </w:tcPr>
          <w:p w14:paraId="144CAFE3"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&gt;0.25 N</w:t>
            </w:r>
          </w:p>
        </w:tc>
        <w:tc>
          <w:tcPr>
            <w:tcW w:w="2012" w:type="dxa"/>
            <w:tcBorders>
              <w:top w:val="single" w:sz="4" w:space="0" w:color="000000"/>
              <w:left w:val="single" w:sz="4" w:space="0" w:color="000000"/>
              <w:bottom w:val="single" w:sz="4" w:space="0" w:color="000000"/>
              <w:right w:val="single" w:sz="4" w:space="0" w:color="000000"/>
            </w:tcBorders>
          </w:tcPr>
          <w:p w14:paraId="5D045534"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c>
          <w:tcPr>
            <w:tcW w:w="1507" w:type="dxa"/>
            <w:tcBorders>
              <w:top w:val="single" w:sz="4" w:space="0" w:color="000000"/>
              <w:left w:val="single" w:sz="4" w:space="0" w:color="000000"/>
              <w:bottom w:val="single" w:sz="4" w:space="0" w:color="000000"/>
              <w:right w:val="single" w:sz="4" w:space="0" w:color="000000"/>
            </w:tcBorders>
          </w:tcPr>
          <w:p w14:paraId="0A459F82"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r>
      <w:tr w:rsidR="00B61B5C" w:rsidRPr="00CA342E" w14:paraId="537943CB" w14:textId="77777777" w:rsidTr="008C1EC7">
        <w:trPr>
          <w:trHeight w:val="240"/>
        </w:trPr>
        <w:tc>
          <w:tcPr>
            <w:tcW w:w="2375" w:type="dxa"/>
            <w:tcBorders>
              <w:top w:val="single" w:sz="4" w:space="0" w:color="000000"/>
              <w:left w:val="single" w:sz="4" w:space="0" w:color="000000"/>
              <w:bottom w:val="single" w:sz="4" w:space="0" w:color="000000"/>
              <w:right w:val="single" w:sz="4" w:space="0" w:color="000000"/>
            </w:tcBorders>
            <w:vAlign w:val="center"/>
          </w:tcPr>
          <w:p w14:paraId="5648E616"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Ricin</w:t>
            </w:r>
          </w:p>
        </w:tc>
        <w:tc>
          <w:tcPr>
            <w:tcW w:w="1637" w:type="dxa"/>
            <w:tcBorders>
              <w:top w:val="single" w:sz="4" w:space="0" w:color="000000"/>
              <w:left w:val="single" w:sz="4" w:space="0" w:color="000000"/>
              <w:bottom w:val="single" w:sz="4" w:space="0" w:color="000000"/>
              <w:right w:val="single" w:sz="4" w:space="0" w:color="000000"/>
            </w:tcBorders>
          </w:tcPr>
          <w:p w14:paraId="45AFB601"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&gt; 1.0%</w:t>
            </w:r>
            <w:r>
              <w:rPr>
                <w:rFonts w:ascii="Arial" w:hAnsi="Arial" w:cs="Arial"/>
                <w:sz w:val="20"/>
                <w:szCs w:val="20"/>
                <w:vertAlign w:val="superscript"/>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00E6204E"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c>
          <w:tcPr>
            <w:tcW w:w="2012" w:type="dxa"/>
            <w:tcBorders>
              <w:top w:val="single" w:sz="4" w:space="0" w:color="000000"/>
              <w:left w:val="single" w:sz="4" w:space="0" w:color="000000"/>
              <w:bottom w:val="single" w:sz="4" w:space="0" w:color="000000"/>
              <w:right w:val="single" w:sz="4" w:space="0" w:color="000000"/>
            </w:tcBorders>
          </w:tcPr>
          <w:p w14:paraId="1771FEF2"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&gt;0.1% + 0.25N</w:t>
            </w:r>
            <w:r>
              <w:rPr>
                <w:rFonts w:ascii="Arial" w:hAnsi="Arial" w:cs="Arial"/>
                <w:sz w:val="20"/>
                <w:szCs w:val="20"/>
              </w:rPr>
              <w:t xml:space="preserve"> </w:t>
            </w:r>
            <w:r>
              <w:rPr>
                <w:rFonts w:ascii="Arial" w:hAnsi="Arial" w:cs="Arial"/>
                <w:sz w:val="20"/>
                <w:szCs w:val="20"/>
                <w:vertAlign w:val="superscript"/>
              </w:rPr>
              <w:t>##</w:t>
            </w:r>
          </w:p>
        </w:tc>
        <w:tc>
          <w:tcPr>
            <w:tcW w:w="1507" w:type="dxa"/>
            <w:tcBorders>
              <w:top w:val="single" w:sz="4" w:space="0" w:color="000000"/>
              <w:left w:val="single" w:sz="4" w:space="0" w:color="000000"/>
              <w:bottom w:val="single" w:sz="4" w:space="0" w:color="000000"/>
              <w:right w:val="single" w:sz="4" w:space="0" w:color="000000"/>
            </w:tcBorders>
            <w:vAlign w:val="center"/>
          </w:tcPr>
          <w:p w14:paraId="0B4E3CA5"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r>
      <w:tr w:rsidR="00B61B5C" w:rsidRPr="00CA342E" w14:paraId="72385EA9" w14:textId="77777777" w:rsidTr="008C1EC7">
        <w:trPr>
          <w:trHeight w:val="240"/>
        </w:trPr>
        <w:tc>
          <w:tcPr>
            <w:tcW w:w="2375" w:type="dxa"/>
            <w:tcBorders>
              <w:top w:val="single" w:sz="4" w:space="0" w:color="000000"/>
              <w:left w:val="single" w:sz="4" w:space="0" w:color="000000"/>
              <w:bottom w:val="single" w:sz="4" w:space="0" w:color="000000"/>
              <w:right w:val="single" w:sz="4" w:space="0" w:color="000000"/>
            </w:tcBorders>
            <w:vAlign w:val="center"/>
          </w:tcPr>
          <w:p w14:paraId="6E2AADA1"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Saxitoxin</w:t>
            </w:r>
          </w:p>
        </w:tc>
        <w:tc>
          <w:tcPr>
            <w:tcW w:w="1637" w:type="dxa"/>
            <w:tcBorders>
              <w:top w:val="single" w:sz="4" w:space="0" w:color="000000"/>
              <w:left w:val="single" w:sz="4" w:space="0" w:color="000000"/>
              <w:bottom w:val="single" w:sz="4" w:space="0" w:color="000000"/>
              <w:right w:val="single" w:sz="4" w:space="0" w:color="000000"/>
            </w:tcBorders>
          </w:tcPr>
          <w:p w14:paraId="7653EAC7"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 0.1%</w:t>
            </w:r>
            <w:r>
              <w:rPr>
                <w:rFonts w:ascii="Arial" w:hAnsi="Arial" w:cs="Arial"/>
                <w:sz w:val="20"/>
                <w:szCs w:val="20"/>
                <w:vertAlign w:val="superscript"/>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0C62C6B6"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c>
          <w:tcPr>
            <w:tcW w:w="2012" w:type="dxa"/>
            <w:tcBorders>
              <w:top w:val="single" w:sz="4" w:space="0" w:color="000000"/>
              <w:left w:val="single" w:sz="4" w:space="0" w:color="000000"/>
              <w:bottom w:val="single" w:sz="4" w:space="0" w:color="000000"/>
              <w:right w:val="single" w:sz="4" w:space="0" w:color="000000"/>
            </w:tcBorders>
          </w:tcPr>
          <w:p w14:paraId="446DF5AE"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 xml:space="preserve">0.25% + 0.25N </w:t>
            </w:r>
            <w:r>
              <w:rPr>
                <w:rFonts w:ascii="Arial" w:hAnsi="Arial" w:cs="Arial"/>
                <w:sz w:val="20"/>
                <w:szCs w:val="20"/>
                <w:vertAlign w:val="superscript"/>
              </w:rPr>
              <w:t>##</w:t>
            </w:r>
          </w:p>
        </w:tc>
        <w:tc>
          <w:tcPr>
            <w:tcW w:w="1507" w:type="dxa"/>
            <w:tcBorders>
              <w:top w:val="single" w:sz="4" w:space="0" w:color="000000"/>
              <w:left w:val="single" w:sz="4" w:space="0" w:color="000000"/>
              <w:bottom w:val="single" w:sz="4" w:space="0" w:color="000000"/>
              <w:right w:val="single" w:sz="4" w:space="0" w:color="000000"/>
            </w:tcBorders>
            <w:vAlign w:val="center"/>
          </w:tcPr>
          <w:p w14:paraId="4976EB94"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r>
      <w:tr w:rsidR="00B61B5C" w:rsidRPr="00CA342E" w14:paraId="05EEBD4B" w14:textId="77777777" w:rsidTr="008C1EC7">
        <w:trPr>
          <w:trHeight w:val="240"/>
        </w:trPr>
        <w:tc>
          <w:tcPr>
            <w:tcW w:w="2375" w:type="dxa"/>
            <w:tcBorders>
              <w:top w:val="single" w:sz="4" w:space="0" w:color="000000"/>
              <w:left w:val="single" w:sz="4" w:space="0" w:color="000000"/>
              <w:bottom w:val="single" w:sz="4" w:space="0" w:color="000000"/>
              <w:right w:val="single" w:sz="4" w:space="0" w:color="000000"/>
            </w:tcBorders>
            <w:vAlign w:val="center"/>
          </w:tcPr>
          <w:p w14:paraId="779467B0"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Palytoxin</w:t>
            </w:r>
          </w:p>
        </w:tc>
        <w:tc>
          <w:tcPr>
            <w:tcW w:w="1637" w:type="dxa"/>
            <w:tcBorders>
              <w:top w:val="single" w:sz="4" w:space="0" w:color="000000"/>
              <w:left w:val="single" w:sz="4" w:space="0" w:color="000000"/>
              <w:bottom w:val="single" w:sz="4" w:space="0" w:color="000000"/>
              <w:right w:val="single" w:sz="4" w:space="0" w:color="000000"/>
            </w:tcBorders>
          </w:tcPr>
          <w:p w14:paraId="135AB32A"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 0.1%</w:t>
            </w:r>
            <w:r>
              <w:rPr>
                <w:rFonts w:ascii="Arial" w:hAnsi="Arial" w:cs="Arial"/>
                <w:sz w:val="20"/>
                <w:szCs w:val="20"/>
                <w:vertAlign w:val="superscript"/>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9981F36"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c>
          <w:tcPr>
            <w:tcW w:w="2012" w:type="dxa"/>
            <w:tcBorders>
              <w:top w:val="single" w:sz="4" w:space="0" w:color="000000"/>
              <w:left w:val="single" w:sz="4" w:space="0" w:color="000000"/>
              <w:bottom w:val="single" w:sz="4" w:space="0" w:color="000000"/>
              <w:right w:val="single" w:sz="4" w:space="0" w:color="000000"/>
            </w:tcBorders>
          </w:tcPr>
          <w:p w14:paraId="7BF222FF"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 xml:space="preserve">0.25% + 0.25N </w:t>
            </w:r>
            <w:r>
              <w:rPr>
                <w:rFonts w:ascii="Arial" w:hAnsi="Arial" w:cs="Arial"/>
                <w:sz w:val="20"/>
                <w:szCs w:val="20"/>
                <w:vertAlign w:val="superscript"/>
              </w:rPr>
              <w:t>##</w:t>
            </w:r>
          </w:p>
        </w:tc>
        <w:tc>
          <w:tcPr>
            <w:tcW w:w="1507" w:type="dxa"/>
            <w:tcBorders>
              <w:top w:val="single" w:sz="4" w:space="0" w:color="000000"/>
              <w:left w:val="single" w:sz="4" w:space="0" w:color="000000"/>
              <w:bottom w:val="single" w:sz="4" w:space="0" w:color="000000"/>
              <w:right w:val="single" w:sz="4" w:space="0" w:color="000000"/>
            </w:tcBorders>
            <w:vAlign w:val="center"/>
          </w:tcPr>
          <w:p w14:paraId="13357C50"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r>
      <w:tr w:rsidR="00B61B5C" w:rsidRPr="00CA342E" w14:paraId="5064C6EB" w14:textId="77777777" w:rsidTr="008C1EC7">
        <w:trPr>
          <w:trHeight w:val="240"/>
        </w:trPr>
        <w:tc>
          <w:tcPr>
            <w:tcW w:w="2375" w:type="dxa"/>
            <w:tcBorders>
              <w:top w:val="single" w:sz="4" w:space="0" w:color="000000"/>
              <w:left w:val="single" w:sz="4" w:space="0" w:color="000000"/>
              <w:bottom w:val="single" w:sz="4" w:space="0" w:color="000000"/>
              <w:right w:val="single" w:sz="4" w:space="0" w:color="000000"/>
            </w:tcBorders>
            <w:vAlign w:val="center"/>
          </w:tcPr>
          <w:p w14:paraId="32E08A83"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Microcystin</w:t>
            </w:r>
          </w:p>
        </w:tc>
        <w:tc>
          <w:tcPr>
            <w:tcW w:w="1637" w:type="dxa"/>
            <w:tcBorders>
              <w:top w:val="single" w:sz="4" w:space="0" w:color="000000"/>
              <w:left w:val="single" w:sz="4" w:space="0" w:color="000000"/>
              <w:bottom w:val="single" w:sz="4" w:space="0" w:color="000000"/>
              <w:right w:val="single" w:sz="4" w:space="0" w:color="000000"/>
            </w:tcBorders>
          </w:tcPr>
          <w:p w14:paraId="6B2E9A21"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 0.5%</w:t>
            </w:r>
            <w:r>
              <w:rPr>
                <w:rFonts w:ascii="Arial" w:hAnsi="Arial" w:cs="Arial"/>
                <w:sz w:val="20"/>
                <w:szCs w:val="20"/>
                <w:vertAlign w:val="superscript"/>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75DBDC52"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c>
          <w:tcPr>
            <w:tcW w:w="2012" w:type="dxa"/>
            <w:tcBorders>
              <w:top w:val="single" w:sz="4" w:space="0" w:color="000000"/>
              <w:left w:val="single" w:sz="4" w:space="0" w:color="000000"/>
              <w:bottom w:val="single" w:sz="4" w:space="0" w:color="000000"/>
              <w:right w:val="single" w:sz="4" w:space="0" w:color="000000"/>
            </w:tcBorders>
          </w:tcPr>
          <w:p w14:paraId="0EA02B34"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 xml:space="preserve">0.25% + 0.25N </w:t>
            </w:r>
            <w:r>
              <w:rPr>
                <w:rFonts w:ascii="Arial" w:hAnsi="Arial" w:cs="Arial"/>
                <w:sz w:val="20"/>
                <w:szCs w:val="20"/>
                <w:vertAlign w:val="superscript"/>
              </w:rPr>
              <w:t>##</w:t>
            </w:r>
          </w:p>
        </w:tc>
        <w:tc>
          <w:tcPr>
            <w:tcW w:w="1507" w:type="dxa"/>
            <w:tcBorders>
              <w:top w:val="single" w:sz="4" w:space="0" w:color="000000"/>
              <w:left w:val="single" w:sz="4" w:space="0" w:color="000000"/>
              <w:bottom w:val="single" w:sz="4" w:space="0" w:color="000000"/>
              <w:right w:val="single" w:sz="4" w:space="0" w:color="000000"/>
            </w:tcBorders>
            <w:vAlign w:val="center"/>
          </w:tcPr>
          <w:p w14:paraId="31A635A5"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r>
      <w:tr w:rsidR="00B61B5C" w:rsidRPr="00CA342E" w14:paraId="6C777333" w14:textId="77777777" w:rsidTr="008C1EC7">
        <w:trPr>
          <w:trHeight w:val="240"/>
        </w:trPr>
        <w:tc>
          <w:tcPr>
            <w:tcW w:w="2375" w:type="dxa"/>
            <w:tcBorders>
              <w:top w:val="single" w:sz="4" w:space="0" w:color="000000"/>
              <w:left w:val="single" w:sz="4" w:space="0" w:color="000000"/>
              <w:bottom w:val="single" w:sz="4" w:space="0" w:color="000000"/>
              <w:right w:val="single" w:sz="4" w:space="0" w:color="000000"/>
            </w:tcBorders>
            <w:vAlign w:val="center"/>
          </w:tcPr>
          <w:p w14:paraId="45300641"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Tetrodotoxin</w:t>
            </w:r>
          </w:p>
        </w:tc>
        <w:tc>
          <w:tcPr>
            <w:tcW w:w="1637" w:type="dxa"/>
            <w:tcBorders>
              <w:top w:val="single" w:sz="4" w:space="0" w:color="000000"/>
              <w:left w:val="single" w:sz="4" w:space="0" w:color="000000"/>
              <w:bottom w:val="single" w:sz="4" w:space="0" w:color="000000"/>
              <w:right w:val="single" w:sz="4" w:space="0" w:color="000000"/>
            </w:tcBorders>
          </w:tcPr>
          <w:p w14:paraId="5E6CC022"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 0.5%</w:t>
            </w:r>
            <w:r>
              <w:rPr>
                <w:rFonts w:ascii="Arial" w:hAnsi="Arial" w:cs="Arial"/>
                <w:sz w:val="20"/>
                <w:szCs w:val="20"/>
                <w:vertAlign w:val="superscript"/>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0D13ADFF"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c>
          <w:tcPr>
            <w:tcW w:w="2012" w:type="dxa"/>
            <w:tcBorders>
              <w:top w:val="single" w:sz="4" w:space="0" w:color="000000"/>
              <w:left w:val="single" w:sz="4" w:space="0" w:color="000000"/>
              <w:bottom w:val="single" w:sz="4" w:space="0" w:color="000000"/>
              <w:right w:val="single" w:sz="4" w:space="0" w:color="000000"/>
            </w:tcBorders>
          </w:tcPr>
          <w:p w14:paraId="4706DAB7"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 xml:space="preserve">0.25% + 0.25N </w:t>
            </w:r>
            <w:r>
              <w:rPr>
                <w:rFonts w:ascii="Arial" w:hAnsi="Arial" w:cs="Arial"/>
                <w:sz w:val="20"/>
                <w:szCs w:val="20"/>
                <w:vertAlign w:val="superscript"/>
              </w:rPr>
              <w:t>##</w:t>
            </w:r>
          </w:p>
        </w:tc>
        <w:tc>
          <w:tcPr>
            <w:tcW w:w="1507" w:type="dxa"/>
            <w:tcBorders>
              <w:top w:val="single" w:sz="4" w:space="0" w:color="000000"/>
              <w:left w:val="single" w:sz="4" w:space="0" w:color="000000"/>
              <w:bottom w:val="single" w:sz="4" w:space="0" w:color="000000"/>
              <w:right w:val="single" w:sz="4" w:space="0" w:color="000000"/>
            </w:tcBorders>
            <w:vAlign w:val="center"/>
          </w:tcPr>
          <w:p w14:paraId="6D017878"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r>
      <w:tr w:rsidR="00B61B5C" w:rsidRPr="00CA342E" w14:paraId="26F08B59" w14:textId="77777777" w:rsidTr="008C1EC7">
        <w:trPr>
          <w:trHeight w:val="240"/>
        </w:trPr>
        <w:tc>
          <w:tcPr>
            <w:tcW w:w="2375" w:type="dxa"/>
            <w:tcBorders>
              <w:top w:val="single" w:sz="4" w:space="0" w:color="000000"/>
              <w:left w:val="single" w:sz="4" w:space="0" w:color="000000"/>
              <w:bottom w:val="single" w:sz="4" w:space="0" w:color="000000"/>
              <w:right w:val="single" w:sz="4" w:space="0" w:color="000000"/>
            </w:tcBorders>
            <w:vAlign w:val="center"/>
          </w:tcPr>
          <w:p w14:paraId="3D8B630A"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T-2 mycotoxin</w:t>
            </w:r>
          </w:p>
        </w:tc>
        <w:tc>
          <w:tcPr>
            <w:tcW w:w="1637" w:type="dxa"/>
            <w:tcBorders>
              <w:top w:val="single" w:sz="4" w:space="0" w:color="000000"/>
              <w:left w:val="single" w:sz="4" w:space="0" w:color="000000"/>
              <w:bottom w:val="single" w:sz="4" w:space="0" w:color="000000"/>
              <w:right w:val="single" w:sz="4" w:space="0" w:color="000000"/>
            </w:tcBorders>
          </w:tcPr>
          <w:p w14:paraId="276345AF"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 2.5%e,</w:t>
            </w:r>
            <w:r>
              <w:rPr>
                <w:rFonts w:ascii="Arial" w:hAnsi="Arial" w:cs="Arial"/>
                <w:sz w:val="20"/>
                <w:szCs w:val="20"/>
                <w:vertAlign w:val="superscript"/>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26751641"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c>
          <w:tcPr>
            <w:tcW w:w="2012" w:type="dxa"/>
            <w:tcBorders>
              <w:top w:val="single" w:sz="4" w:space="0" w:color="000000"/>
              <w:left w:val="single" w:sz="4" w:space="0" w:color="000000"/>
              <w:bottom w:val="single" w:sz="4" w:space="0" w:color="000000"/>
              <w:right w:val="single" w:sz="4" w:space="0" w:color="000000"/>
            </w:tcBorders>
          </w:tcPr>
          <w:p w14:paraId="74E3809F"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 xml:space="preserve">0.25% + 0.25N </w:t>
            </w:r>
            <w:r>
              <w:rPr>
                <w:rFonts w:ascii="Arial" w:hAnsi="Arial" w:cs="Arial"/>
                <w:sz w:val="20"/>
                <w:szCs w:val="20"/>
                <w:vertAlign w:val="superscript"/>
              </w:rPr>
              <w:t>##</w:t>
            </w:r>
          </w:p>
        </w:tc>
        <w:tc>
          <w:tcPr>
            <w:tcW w:w="1507" w:type="dxa"/>
            <w:tcBorders>
              <w:top w:val="single" w:sz="4" w:space="0" w:color="000000"/>
              <w:left w:val="single" w:sz="4" w:space="0" w:color="000000"/>
              <w:bottom w:val="single" w:sz="4" w:space="0" w:color="000000"/>
              <w:right w:val="single" w:sz="4" w:space="0" w:color="000000"/>
            </w:tcBorders>
            <w:vAlign w:val="center"/>
          </w:tcPr>
          <w:p w14:paraId="56CA38C4"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r>
      <w:tr w:rsidR="00B61B5C" w:rsidRPr="00CA342E" w14:paraId="070466DD" w14:textId="77777777" w:rsidTr="008C1EC7">
        <w:trPr>
          <w:trHeight w:val="242"/>
        </w:trPr>
        <w:tc>
          <w:tcPr>
            <w:tcW w:w="2375" w:type="dxa"/>
            <w:tcBorders>
              <w:top w:val="single" w:sz="4" w:space="0" w:color="000000"/>
              <w:left w:val="single" w:sz="4" w:space="0" w:color="000000"/>
              <w:bottom w:val="single" w:sz="6" w:space="0" w:color="000000"/>
              <w:right w:val="single" w:sz="4" w:space="0" w:color="000000"/>
            </w:tcBorders>
            <w:vAlign w:val="center"/>
          </w:tcPr>
          <w:p w14:paraId="751EAE7E" w14:textId="77777777" w:rsidR="00B61B5C" w:rsidRPr="00CA342E" w:rsidRDefault="00B61B5C" w:rsidP="008C1EC7">
            <w:pPr>
              <w:pStyle w:val="Default"/>
              <w:jc w:val="center"/>
              <w:rPr>
                <w:rFonts w:ascii="Arial" w:hAnsi="Arial" w:cs="Arial"/>
                <w:sz w:val="20"/>
                <w:szCs w:val="20"/>
              </w:rPr>
            </w:pPr>
            <w:proofErr w:type="spellStart"/>
            <w:r w:rsidRPr="00CA342E">
              <w:rPr>
                <w:rFonts w:ascii="Arial" w:hAnsi="Arial" w:cs="Arial"/>
                <w:sz w:val="20"/>
                <w:szCs w:val="20"/>
              </w:rPr>
              <w:t>Brevetoxin</w:t>
            </w:r>
            <w:proofErr w:type="spellEnd"/>
            <w:r w:rsidRPr="00CA342E">
              <w:rPr>
                <w:rFonts w:ascii="Arial" w:hAnsi="Arial" w:cs="Arial"/>
                <w:sz w:val="20"/>
                <w:szCs w:val="20"/>
              </w:rPr>
              <w:t xml:space="preserve"> (PbTx-2)</w:t>
            </w:r>
          </w:p>
        </w:tc>
        <w:tc>
          <w:tcPr>
            <w:tcW w:w="1637" w:type="dxa"/>
            <w:tcBorders>
              <w:top w:val="single" w:sz="4" w:space="0" w:color="000000"/>
              <w:left w:val="single" w:sz="4" w:space="0" w:color="000000"/>
              <w:bottom w:val="single" w:sz="6" w:space="0" w:color="000000"/>
              <w:right w:val="single" w:sz="4" w:space="0" w:color="000000"/>
            </w:tcBorders>
          </w:tcPr>
          <w:p w14:paraId="35191DD2"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 2.5%e,</w:t>
            </w:r>
            <w:r>
              <w:rPr>
                <w:rFonts w:ascii="Arial" w:hAnsi="Arial" w:cs="Arial"/>
                <w:sz w:val="20"/>
                <w:szCs w:val="20"/>
                <w:vertAlign w:val="superscript"/>
              </w:rPr>
              <w:t>###</w:t>
            </w:r>
          </w:p>
        </w:tc>
        <w:tc>
          <w:tcPr>
            <w:tcW w:w="1200" w:type="dxa"/>
            <w:tcBorders>
              <w:top w:val="single" w:sz="4" w:space="0" w:color="000000"/>
              <w:left w:val="single" w:sz="4" w:space="0" w:color="000000"/>
              <w:bottom w:val="single" w:sz="6" w:space="0" w:color="000000"/>
              <w:right w:val="single" w:sz="4" w:space="0" w:color="000000"/>
            </w:tcBorders>
            <w:vAlign w:val="center"/>
          </w:tcPr>
          <w:p w14:paraId="1F99D97B"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c>
          <w:tcPr>
            <w:tcW w:w="2012" w:type="dxa"/>
            <w:tcBorders>
              <w:top w:val="single" w:sz="4" w:space="0" w:color="000000"/>
              <w:left w:val="single" w:sz="4" w:space="0" w:color="000000"/>
              <w:bottom w:val="single" w:sz="6" w:space="0" w:color="000000"/>
              <w:right w:val="single" w:sz="4" w:space="0" w:color="000000"/>
            </w:tcBorders>
          </w:tcPr>
          <w:p w14:paraId="6C391581"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 xml:space="preserve">0.25% + 0.25N </w:t>
            </w:r>
            <w:r>
              <w:rPr>
                <w:rFonts w:ascii="Arial" w:hAnsi="Arial" w:cs="Arial"/>
                <w:sz w:val="20"/>
                <w:szCs w:val="20"/>
                <w:vertAlign w:val="superscript"/>
              </w:rPr>
              <w:t>##</w:t>
            </w:r>
          </w:p>
        </w:tc>
        <w:tc>
          <w:tcPr>
            <w:tcW w:w="1507" w:type="dxa"/>
            <w:tcBorders>
              <w:top w:val="single" w:sz="4" w:space="0" w:color="000000"/>
              <w:left w:val="single" w:sz="4" w:space="0" w:color="000000"/>
              <w:bottom w:val="single" w:sz="6" w:space="0" w:color="000000"/>
              <w:right w:val="single" w:sz="4" w:space="0" w:color="000000"/>
            </w:tcBorders>
            <w:vAlign w:val="center"/>
          </w:tcPr>
          <w:p w14:paraId="64FADD30" w14:textId="77777777" w:rsidR="00B61B5C" w:rsidRPr="00CA342E" w:rsidRDefault="00B61B5C" w:rsidP="008C1EC7">
            <w:pPr>
              <w:pStyle w:val="Default"/>
              <w:jc w:val="center"/>
              <w:rPr>
                <w:rFonts w:ascii="Arial" w:hAnsi="Arial" w:cs="Arial"/>
                <w:sz w:val="20"/>
                <w:szCs w:val="20"/>
              </w:rPr>
            </w:pPr>
            <w:r w:rsidRPr="00CA342E">
              <w:rPr>
                <w:rFonts w:ascii="Arial" w:hAnsi="Arial" w:cs="Arial"/>
                <w:sz w:val="20"/>
                <w:szCs w:val="20"/>
              </w:rPr>
              <w:t>ND</w:t>
            </w:r>
          </w:p>
        </w:tc>
      </w:tr>
    </w:tbl>
    <w:p w14:paraId="34DFEA63" w14:textId="77777777" w:rsidR="00A67685" w:rsidRDefault="00A67685" w:rsidP="00A67685">
      <w:pPr>
        <w:pStyle w:val="CM2"/>
        <w:jc w:val="both"/>
        <w:rPr>
          <w:rFonts w:ascii="Arial" w:hAnsi="Arial" w:cs="Arial"/>
          <w:sz w:val="18"/>
          <w:szCs w:val="18"/>
        </w:rPr>
      </w:pPr>
    </w:p>
    <w:p w14:paraId="4EEAD964" w14:textId="123275DA" w:rsidR="00B61B5C" w:rsidRPr="000D241F" w:rsidRDefault="00B61B5C" w:rsidP="00A67685">
      <w:pPr>
        <w:pStyle w:val="CM2"/>
        <w:jc w:val="both"/>
        <w:rPr>
          <w:rFonts w:ascii="Arial" w:hAnsi="Arial" w:cs="Arial"/>
          <w:sz w:val="18"/>
          <w:szCs w:val="18"/>
        </w:rPr>
      </w:pPr>
      <w:r w:rsidRPr="000D241F">
        <w:rPr>
          <w:rFonts w:ascii="Arial" w:hAnsi="Arial" w:cs="Arial"/>
          <w:sz w:val="18"/>
          <w:szCs w:val="18"/>
        </w:rPr>
        <w:t xml:space="preserve">Table 2 Notes: ND indicates “not determined” from available decontamination literature. </w:t>
      </w:r>
    </w:p>
    <w:p w14:paraId="22A2B882" w14:textId="77777777" w:rsidR="00B61B5C" w:rsidRPr="000D241F" w:rsidRDefault="00B61B5C" w:rsidP="00A67685">
      <w:pPr>
        <w:pStyle w:val="CM2"/>
        <w:jc w:val="both"/>
        <w:rPr>
          <w:rFonts w:ascii="Arial" w:hAnsi="Arial" w:cs="Arial"/>
          <w:sz w:val="18"/>
          <w:szCs w:val="18"/>
        </w:rPr>
      </w:pPr>
      <w:r w:rsidRPr="000D241F">
        <w:rPr>
          <w:rFonts w:ascii="Arial" w:eastAsia="Calibri" w:hAnsi="Arial" w:cs="Arial"/>
          <w:b/>
          <w:color w:val="000000"/>
          <w:sz w:val="18"/>
          <w:szCs w:val="18"/>
        </w:rPr>
        <w:t>*</w:t>
      </w:r>
      <w:r w:rsidRPr="000D241F">
        <w:rPr>
          <w:rFonts w:ascii="Arial" w:hAnsi="Arial" w:cs="Arial"/>
          <w:b/>
          <w:sz w:val="18"/>
          <w:szCs w:val="18"/>
        </w:rPr>
        <w:t xml:space="preserve"> </w:t>
      </w:r>
      <w:r w:rsidRPr="000D241F">
        <w:rPr>
          <w:rFonts w:ascii="Arial" w:hAnsi="Arial" w:cs="Arial"/>
          <w:sz w:val="18"/>
          <w:szCs w:val="18"/>
        </w:rPr>
        <w:t xml:space="preserve">Solutions of </w:t>
      </w:r>
      <w:proofErr w:type="spellStart"/>
      <w:r w:rsidRPr="000D241F">
        <w:rPr>
          <w:rFonts w:ascii="Arial" w:hAnsi="Arial" w:cs="Arial"/>
          <w:sz w:val="18"/>
          <w:szCs w:val="18"/>
        </w:rPr>
        <w:t>NaOCl</w:t>
      </w:r>
      <w:proofErr w:type="spellEnd"/>
      <w:r w:rsidRPr="000D241F">
        <w:rPr>
          <w:rFonts w:ascii="Arial" w:hAnsi="Arial" w:cs="Arial"/>
          <w:sz w:val="18"/>
          <w:szCs w:val="18"/>
        </w:rPr>
        <w:t xml:space="preserve"> (≥0.1%) or NaOH (&gt;0.25 N) for 30 min inactivate </w:t>
      </w:r>
      <w:proofErr w:type="spellStart"/>
      <w:r w:rsidRPr="000D241F">
        <w:rPr>
          <w:rFonts w:ascii="Arial" w:hAnsi="Arial" w:cs="Arial"/>
          <w:sz w:val="18"/>
          <w:szCs w:val="18"/>
        </w:rPr>
        <w:t>BoNT</w:t>
      </w:r>
      <w:proofErr w:type="spellEnd"/>
      <w:r w:rsidRPr="000D241F">
        <w:rPr>
          <w:rFonts w:ascii="Arial" w:hAnsi="Arial" w:cs="Arial"/>
          <w:sz w:val="18"/>
          <w:szCs w:val="18"/>
        </w:rPr>
        <w:t xml:space="preserve"> and are recommended for decontaminating work surfaces and spills of </w:t>
      </w:r>
      <w:r w:rsidRPr="000D241F">
        <w:rPr>
          <w:rFonts w:ascii="Arial" w:hAnsi="Arial" w:cs="Arial"/>
          <w:i/>
          <w:iCs/>
          <w:sz w:val="18"/>
          <w:szCs w:val="18"/>
        </w:rPr>
        <w:t xml:space="preserve">C. botulinum </w:t>
      </w:r>
      <w:r w:rsidRPr="000D241F">
        <w:rPr>
          <w:rFonts w:ascii="Arial" w:hAnsi="Arial" w:cs="Arial"/>
          <w:sz w:val="18"/>
          <w:szCs w:val="18"/>
        </w:rPr>
        <w:t xml:space="preserve">or </w:t>
      </w:r>
      <w:proofErr w:type="spellStart"/>
      <w:r w:rsidRPr="000D241F">
        <w:rPr>
          <w:rFonts w:ascii="Arial" w:hAnsi="Arial" w:cs="Arial"/>
          <w:sz w:val="18"/>
          <w:szCs w:val="18"/>
        </w:rPr>
        <w:t>BoNT</w:t>
      </w:r>
      <w:proofErr w:type="spellEnd"/>
      <w:r w:rsidRPr="000D241F">
        <w:rPr>
          <w:rFonts w:ascii="Arial" w:hAnsi="Arial" w:cs="Arial"/>
          <w:sz w:val="18"/>
          <w:szCs w:val="18"/>
        </w:rPr>
        <w:t xml:space="preserve">. Chlorine at a concentration of 0.3-0.5 mg/L as a solution of hypochlorite rapidly inactivates </w:t>
      </w:r>
      <w:proofErr w:type="spellStart"/>
      <w:r w:rsidRPr="000D241F">
        <w:rPr>
          <w:rFonts w:ascii="Arial" w:hAnsi="Arial" w:cs="Arial"/>
          <w:sz w:val="18"/>
          <w:szCs w:val="18"/>
        </w:rPr>
        <w:t>BoNT</w:t>
      </w:r>
      <w:proofErr w:type="spellEnd"/>
      <w:r w:rsidRPr="000D241F">
        <w:rPr>
          <w:rFonts w:ascii="Arial" w:hAnsi="Arial" w:cs="Arial"/>
          <w:sz w:val="18"/>
          <w:szCs w:val="18"/>
        </w:rPr>
        <w:t xml:space="preserve"> (serotypes B or E tested) in water. Chlorine dioxide inactivates </w:t>
      </w:r>
      <w:proofErr w:type="spellStart"/>
      <w:r w:rsidRPr="000D241F">
        <w:rPr>
          <w:rFonts w:ascii="Arial" w:hAnsi="Arial" w:cs="Arial"/>
          <w:sz w:val="18"/>
          <w:szCs w:val="18"/>
        </w:rPr>
        <w:t>BoNT</w:t>
      </w:r>
      <w:proofErr w:type="spellEnd"/>
      <w:r w:rsidRPr="000D241F">
        <w:rPr>
          <w:rFonts w:ascii="Arial" w:hAnsi="Arial" w:cs="Arial"/>
          <w:sz w:val="18"/>
          <w:szCs w:val="18"/>
        </w:rPr>
        <w:t>, but chloramine is less effective.</w:t>
      </w:r>
      <w:r w:rsidRPr="000D241F">
        <w:rPr>
          <w:rFonts w:ascii="Arial" w:hAnsi="Arial" w:cs="Arial"/>
          <w:position w:val="11"/>
          <w:sz w:val="18"/>
          <w:szCs w:val="18"/>
          <w:vertAlign w:val="superscript"/>
        </w:rPr>
        <w:t xml:space="preserve"> </w:t>
      </w:r>
      <w:r w:rsidRPr="000D241F">
        <w:rPr>
          <w:rFonts w:ascii="Arial" w:hAnsi="Arial" w:cs="Arial"/>
          <w:sz w:val="18"/>
          <w:szCs w:val="18"/>
        </w:rPr>
        <w:t xml:space="preserve"> </w:t>
      </w:r>
    </w:p>
    <w:p w14:paraId="578D0B46" w14:textId="77777777" w:rsidR="00B61B5C" w:rsidRPr="000D241F" w:rsidRDefault="00B61B5C" w:rsidP="00A67685">
      <w:pPr>
        <w:pStyle w:val="CM2"/>
        <w:jc w:val="both"/>
        <w:rPr>
          <w:rFonts w:ascii="Arial" w:hAnsi="Arial" w:cs="Arial"/>
          <w:sz w:val="18"/>
          <w:szCs w:val="18"/>
        </w:rPr>
      </w:pPr>
      <w:r w:rsidRPr="000D241F">
        <w:rPr>
          <w:rFonts w:ascii="Arial" w:hAnsi="Arial" w:cs="Arial"/>
          <w:b/>
          <w:sz w:val="18"/>
          <w:szCs w:val="18"/>
        </w:rPr>
        <w:t xml:space="preserve">** </w:t>
      </w:r>
      <w:r w:rsidRPr="000D241F">
        <w:rPr>
          <w:rFonts w:ascii="Arial" w:hAnsi="Arial" w:cs="Arial"/>
          <w:sz w:val="18"/>
          <w:szCs w:val="18"/>
        </w:rPr>
        <w:t xml:space="preserve">Ozone (&gt;2 mg/L) or powdered activated charcoal treatment also completely inactivate </w:t>
      </w:r>
      <w:proofErr w:type="spellStart"/>
      <w:r w:rsidRPr="000D241F">
        <w:rPr>
          <w:rFonts w:ascii="Arial" w:hAnsi="Arial" w:cs="Arial"/>
          <w:sz w:val="18"/>
          <w:szCs w:val="18"/>
        </w:rPr>
        <w:t>BoNT</w:t>
      </w:r>
      <w:proofErr w:type="spellEnd"/>
      <w:r w:rsidRPr="000D241F">
        <w:rPr>
          <w:rFonts w:ascii="Arial" w:hAnsi="Arial" w:cs="Arial"/>
          <w:sz w:val="18"/>
          <w:szCs w:val="18"/>
        </w:rPr>
        <w:t xml:space="preserve"> (serotypes A, B tested) in water under defined condition.</w:t>
      </w:r>
      <w:r w:rsidRPr="000D241F">
        <w:rPr>
          <w:rFonts w:ascii="Arial" w:hAnsi="Arial" w:cs="Arial"/>
          <w:position w:val="11"/>
          <w:sz w:val="18"/>
          <w:szCs w:val="18"/>
          <w:vertAlign w:val="superscript"/>
        </w:rPr>
        <w:t xml:space="preserve"> </w:t>
      </w:r>
      <w:r w:rsidRPr="000D241F">
        <w:rPr>
          <w:rFonts w:ascii="Arial" w:hAnsi="Arial" w:cs="Arial"/>
          <w:sz w:val="18"/>
          <w:szCs w:val="18"/>
        </w:rPr>
        <w:t xml:space="preserve"> </w:t>
      </w:r>
    </w:p>
    <w:p w14:paraId="58F6512C" w14:textId="77777777" w:rsidR="00B61B5C" w:rsidRPr="000D241F" w:rsidRDefault="00B61B5C" w:rsidP="00A67685">
      <w:pPr>
        <w:pStyle w:val="CM2"/>
        <w:jc w:val="both"/>
        <w:rPr>
          <w:rFonts w:ascii="Arial" w:hAnsi="Arial" w:cs="Arial"/>
          <w:sz w:val="18"/>
          <w:szCs w:val="18"/>
        </w:rPr>
      </w:pPr>
      <w:r w:rsidRPr="000D241F">
        <w:rPr>
          <w:rFonts w:ascii="Arial" w:hAnsi="Arial" w:cs="Arial"/>
          <w:b/>
          <w:sz w:val="18"/>
          <w:szCs w:val="18"/>
        </w:rPr>
        <w:t>***</w:t>
      </w:r>
      <w:r w:rsidRPr="000D241F">
        <w:rPr>
          <w:rFonts w:ascii="Arial" w:hAnsi="Arial" w:cs="Arial"/>
          <w:sz w:val="18"/>
          <w:szCs w:val="18"/>
        </w:rPr>
        <w:t xml:space="preserve"> SEB is inactivated with 0.5% hypochlorite for 10-15 mi.  </w:t>
      </w:r>
    </w:p>
    <w:p w14:paraId="7C94EF87" w14:textId="77777777" w:rsidR="00B61B5C" w:rsidRPr="000D241F" w:rsidRDefault="00B61B5C" w:rsidP="00A67685">
      <w:pPr>
        <w:pStyle w:val="CM2"/>
        <w:jc w:val="both"/>
        <w:rPr>
          <w:rFonts w:ascii="Arial" w:hAnsi="Arial" w:cs="Arial"/>
          <w:sz w:val="18"/>
          <w:szCs w:val="18"/>
        </w:rPr>
      </w:pPr>
      <w:r w:rsidRPr="000D241F">
        <w:rPr>
          <w:rFonts w:ascii="Arial" w:hAnsi="Arial" w:cs="Arial"/>
          <w:b/>
          <w:sz w:val="18"/>
          <w:szCs w:val="18"/>
        </w:rPr>
        <w:t>#</w:t>
      </w:r>
      <w:r w:rsidRPr="000D241F">
        <w:rPr>
          <w:rFonts w:ascii="Arial" w:hAnsi="Arial" w:cs="Arial"/>
          <w:sz w:val="18"/>
          <w:szCs w:val="18"/>
        </w:rPr>
        <w:t xml:space="preserve"> Ricin is inactivated by a 30 min exposure to concentrations of </w:t>
      </w:r>
      <w:proofErr w:type="spellStart"/>
      <w:r w:rsidRPr="000D241F">
        <w:rPr>
          <w:rFonts w:ascii="Arial" w:hAnsi="Arial" w:cs="Arial"/>
          <w:sz w:val="18"/>
          <w:szCs w:val="18"/>
        </w:rPr>
        <w:t>NaOCl</w:t>
      </w:r>
      <w:proofErr w:type="spellEnd"/>
      <w:r w:rsidRPr="000D241F">
        <w:rPr>
          <w:rFonts w:ascii="Arial" w:hAnsi="Arial" w:cs="Arial"/>
          <w:sz w:val="18"/>
          <w:szCs w:val="18"/>
        </w:rPr>
        <w:t xml:space="preserve"> ranging from 0.1</w:t>
      </w:r>
      <w:r w:rsidRPr="000D241F">
        <w:rPr>
          <w:rFonts w:ascii="Arial" w:hAnsi="Arial" w:cs="Arial"/>
          <w:sz w:val="18"/>
          <w:szCs w:val="18"/>
        </w:rPr>
        <w:softHyphen/>
        <w:t xml:space="preserve">2.5%, or by a mixture of 0.25% </w:t>
      </w:r>
      <w:proofErr w:type="spellStart"/>
      <w:r w:rsidRPr="000D241F">
        <w:rPr>
          <w:rFonts w:ascii="Arial" w:hAnsi="Arial" w:cs="Arial"/>
          <w:sz w:val="18"/>
          <w:szCs w:val="18"/>
        </w:rPr>
        <w:t>NaOCl</w:t>
      </w:r>
      <w:proofErr w:type="spellEnd"/>
      <w:r w:rsidRPr="000D241F">
        <w:rPr>
          <w:rFonts w:ascii="Arial" w:hAnsi="Arial" w:cs="Arial"/>
          <w:sz w:val="18"/>
          <w:szCs w:val="18"/>
        </w:rPr>
        <w:t xml:space="preserve"> plus 0.25 N NaOH.</w:t>
      </w:r>
      <w:r w:rsidRPr="000D241F">
        <w:rPr>
          <w:rFonts w:ascii="Arial" w:hAnsi="Arial" w:cs="Arial"/>
          <w:position w:val="11"/>
          <w:sz w:val="18"/>
          <w:szCs w:val="18"/>
          <w:vertAlign w:val="superscript"/>
        </w:rPr>
        <w:t xml:space="preserve">17 </w:t>
      </w:r>
      <w:r w:rsidRPr="000D241F">
        <w:rPr>
          <w:rFonts w:ascii="Arial" w:hAnsi="Arial" w:cs="Arial"/>
          <w:sz w:val="18"/>
          <w:szCs w:val="18"/>
        </w:rPr>
        <w:t xml:space="preserve">In general, solutions of 1.0% </w:t>
      </w:r>
      <w:proofErr w:type="spellStart"/>
      <w:r w:rsidRPr="000D241F">
        <w:rPr>
          <w:rFonts w:ascii="Arial" w:hAnsi="Arial" w:cs="Arial"/>
          <w:sz w:val="18"/>
          <w:szCs w:val="18"/>
        </w:rPr>
        <w:t>NaOCl</w:t>
      </w:r>
      <w:proofErr w:type="spellEnd"/>
      <w:r w:rsidRPr="000D241F">
        <w:rPr>
          <w:rFonts w:ascii="Arial" w:hAnsi="Arial" w:cs="Arial"/>
          <w:sz w:val="18"/>
          <w:szCs w:val="18"/>
        </w:rPr>
        <w:t xml:space="preserve"> are effective for decontamination of ricin from laboratory surfaces, equipment, animal cages, or small spills. </w:t>
      </w:r>
    </w:p>
    <w:p w14:paraId="78B6197B" w14:textId="77777777" w:rsidR="00B61B5C" w:rsidRPr="000D241F" w:rsidRDefault="00B61B5C" w:rsidP="00A67685">
      <w:pPr>
        <w:pStyle w:val="CM2"/>
        <w:jc w:val="both"/>
        <w:rPr>
          <w:rFonts w:ascii="Arial" w:hAnsi="Arial" w:cs="Arial"/>
          <w:sz w:val="18"/>
          <w:szCs w:val="18"/>
        </w:rPr>
      </w:pPr>
      <w:r w:rsidRPr="000D241F">
        <w:rPr>
          <w:rFonts w:ascii="Arial" w:hAnsi="Arial" w:cs="Arial"/>
          <w:b/>
          <w:sz w:val="18"/>
          <w:szCs w:val="18"/>
        </w:rPr>
        <w:t xml:space="preserve">## </w:t>
      </w:r>
      <w:r w:rsidRPr="000D241F">
        <w:rPr>
          <w:rFonts w:ascii="Arial" w:hAnsi="Arial" w:cs="Arial"/>
          <w:sz w:val="18"/>
          <w:szCs w:val="18"/>
        </w:rPr>
        <w:t xml:space="preserve">The minimal effective concentration of </w:t>
      </w:r>
      <w:proofErr w:type="spellStart"/>
      <w:r w:rsidRPr="000D241F">
        <w:rPr>
          <w:rFonts w:ascii="Arial" w:hAnsi="Arial" w:cs="Arial"/>
          <w:sz w:val="18"/>
          <w:szCs w:val="18"/>
        </w:rPr>
        <w:t>NaOCl</w:t>
      </w:r>
      <w:proofErr w:type="spellEnd"/>
      <w:r w:rsidRPr="000D241F">
        <w:rPr>
          <w:rFonts w:ascii="Arial" w:hAnsi="Arial" w:cs="Arial"/>
          <w:sz w:val="18"/>
          <w:szCs w:val="18"/>
        </w:rPr>
        <w:t xml:space="preserve"> was dependent on toxin and contact time; all LMW toxins tested were inactivated at least 99% by treatment with 2.5% </w:t>
      </w:r>
      <w:proofErr w:type="spellStart"/>
      <w:r w:rsidRPr="000D241F">
        <w:rPr>
          <w:rFonts w:ascii="Arial" w:hAnsi="Arial" w:cs="Arial"/>
          <w:sz w:val="18"/>
          <w:szCs w:val="18"/>
        </w:rPr>
        <w:t>NaOCl</w:t>
      </w:r>
      <w:proofErr w:type="spellEnd"/>
      <w:r w:rsidRPr="000D241F">
        <w:rPr>
          <w:rFonts w:ascii="Arial" w:hAnsi="Arial" w:cs="Arial"/>
          <w:sz w:val="18"/>
          <w:szCs w:val="18"/>
        </w:rPr>
        <w:t xml:space="preserve">, or with a combination of 0.25% </w:t>
      </w:r>
      <w:proofErr w:type="spellStart"/>
      <w:r w:rsidRPr="000D241F">
        <w:rPr>
          <w:rFonts w:ascii="Arial" w:hAnsi="Arial" w:cs="Arial"/>
          <w:sz w:val="18"/>
          <w:szCs w:val="18"/>
        </w:rPr>
        <w:t>NaOCl</w:t>
      </w:r>
      <w:proofErr w:type="spellEnd"/>
      <w:r w:rsidRPr="000D241F">
        <w:rPr>
          <w:rFonts w:ascii="Arial" w:hAnsi="Arial" w:cs="Arial"/>
          <w:sz w:val="18"/>
          <w:szCs w:val="18"/>
        </w:rPr>
        <w:t xml:space="preserve"> and 0.25N NaOH.</w:t>
      </w:r>
    </w:p>
    <w:p w14:paraId="7CFC853B" w14:textId="77777777" w:rsidR="00B61B5C" w:rsidRPr="000D241F" w:rsidRDefault="00B61B5C" w:rsidP="00A67685">
      <w:pPr>
        <w:pStyle w:val="CM2"/>
        <w:jc w:val="both"/>
        <w:rPr>
          <w:rFonts w:ascii="Arial" w:hAnsi="Arial" w:cs="Arial"/>
          <w:position w:val="11"/>
          <w:sz w:val="18"/>
          <w:szCs w:val="18"/>
        </w:rPr>
      </w:pPr>
      <w:r w:rsidRPr="000D241F">
        <w:rPr>
          <w:rFonts w:ascii="Arial" w:hAnsi="Arial" w:cs="Arial"/>
          <w:b/>
          <w:position w:val="11"/>
          <w:sz w:val="18"/>
          <w:szCs w:val="18"/>
        </w:rPr>
        <w:t>###</w:t>
      </w:r>
      <w:r w:rsidRPr="000D241F">
        <w:rPr>
          <w:rFonts w:ascii="Arial" w:hAnsi="Arial" w:cs="Arial"/>
          <w:position w:val="11"/>
          <w:sz w:val="18"/>
          <w:szCs w:val="18"/>
        </w:rPr>
        <w:t xml:space="preserve"> For T-2 mycotoxin and </w:t>
      </w:r>
      <w:proofErr w:type="spellStart"/>
      <w:r w:rsidRPr="000D241F">
        <w:rPr>
          <w:rFonts w:ascii="Arial" w:hAnsi="Arial" w:cs="Arial"/>
          <w:position w:val="11"/>
          <w:sz w:val="18"/>
          <w:szCs w:val="18"/>
        </w:rPr>
        <w:t>brevetoxin</w:t>
      </w:r>
      <w:proofErr w:type="spellEnd"/>
      <w:r w:rsidRPr="000D241F">
        <w:rPr>
          <w:rFonts w:ascii="Arial" w:hAnsi="Arial" w:cs="Arial"/>
          <w:position w:val="11"/>
          <w:sz w:val="18"/>
          <w:szCs w:val="18"/>
        </w:rPr>
        <w:t xml:space="preserve">, liquid samples, accidental spills, and non-burnable waste should be soaked in 2.5% </w:t>
      </w:r>
      <w:proofErr w:type="spellStart"/>
      <w:r w:rsidRPr="000D241F">
        <w:rPr>
          <w:rFonts w:ascii="Arial" w:hAnsi="Arial" w:cs="Arial"/>
          <w:position w:val="11"/>
          <w:sz w:val="18"/>
          <w:szCs w:val="18"/>
        </w:rPr>
        <w:t>NaOCl</w:t>
      </w:r>
      <w:proofErr w:type="spellEnd"/>
      <w:r w:rsidRPr="000D241F">
        <w:rPr>
          <w:rFonts w:ascii="Arial" w:hAnsi="Arial" w:cs="Arial"/>
          <w:position w:val="11"/>
          <w:sz w:val="18"/>
          <w:szCs w:val="18"/>
        </w:rPr>
        <w:t xml:space="preserve"> with 0.25% N NaOH for 4 h. Cages and bedding from animals exposed to T-2 mycotoxin or </w:t>
      </w:r>
      <w:proofErr w:type="spellStart"/>
      <w:r w:rsidRPr="000D241F">
        <w:rPr>
          <w:rFonts w:ascii="Arial" w:hAnsi="Arial" w:cs="Arial"/>
          <w:position w:val="11"/>
          <w:sz w:val="18"/>
          <w:szCs w:val="18"/>
        </w:rPr>
        <w:t>brevetoxin</w:t>
      </w:r>
      <w:proofErr w:type="spellEnd"/>
      <w:r w:rsidRPr="000D241F">
        <w:rPr>
          <w:rFonts w:ascii="Arial" w:hAnsi="Arial" w:cs="Arial"/>
          <w:position w:val="11"/>
          <w:sz w:val="18"/>
          <w:szCs w:val="18"/>
        </w:rPr>
        <w:t xml:space="preserve"> should be treated with 0.25% </w:t>
      </w:r>
      <w:proofErr w:type="spellStart"/>
      <w:r w:rsidRPr="000D241F">
        <w:rPr>
          <w:rFonts w:ascii="Arial" w:hAnsi="Arial" w:cs="Arial"/>
          <w:position w:val="11"/>
          <w:sz w:val="18"/>
          <w:szCs w:val="18"/>
        </w:rPr>
        <w:t>NaOCl</w:t>
      </w:r>
      <w:proofErr w:type="spellEnd"/>
      <w:r w:rsidRPr="000D241F">
        <w:rPr>
          <w:rFonts w:ascii="Arial" w:hAnsi="Arial" w:cs="Arial"/>
          <w:position w:val="11"/>
          <w:sz w:val="18"/>
          <w:szCs w:val="18"/>
        </w:rPr>
        <w:t xml:space="preserve"> and 0.025 N NaOH for 4 h. Exposure for 30 min to 1.0% </w:t>
      </w:r>
      <w:proofErr w:type="spellStart"/>
      <w:r w:rsidRPr="000D241F">
        <w:rPr>
          <w:rFonts w:ascii="Arial" w:hAnsi="Arial" w:cs="Arial"/>
          <w:position w:val="11"/>
          <w:sz w:val="18"/>
          <w:szCs w:val="18"/>
        </w:rPr>
        <w:t>NaOCl</w:t>
      </w:r>
      <w:proofErr w:type="spellEnd"/>
      <w:r w:rsidRPr="000D241F">
        <w:rPr>
          <w:rFonts w:ascii="Arial" w:hAnsi="Arial" w:cs="Arial"/>
          <w:position w:val="11"/>
          <w:sz w:val="18"/>
          <w:szCs w:val="18"/>
        </w:rPr>
        <w:t xml:space="preserve"> is an effective procedure for the laboratory (working solutions, equipment, animal cages, working area and spills) for the inactivation of saxitoxin or tetrodotoxin. Decontamination of equipment and waste contaminated with select </w:t>
      </w:r>
      <w:proofErr w:type="spellStart"/>
      <w:r w:rsidRPr="000D241F">
        <w:rPr>
          <w:rFonts w:ascii="Arial" w:hAnsi="Arial" w:cs="Arial"/>
          <w:position w:val="11"/>
          <w:sz w:val="18"/>
          <w:szCs w:val="18"/>
        </w:rPr>
        <w:t>brevetoxins</w:t>
      </w:r>
      <w:proofErr w:type="spellEnd"/>
      <w:r w:rsidRPr="000D241F">
        <w:rPr>
          <w:rFonts w:ascii="Arial" w:hAnsi="Arial" w:cs="Arial"/>
          <w:position w:val="11"/>
          <w:sz w:val="18"/>
          <w:szCs w:val="18"/>
        </w:rPr>
        <w:t xml:space="preserve"> has been reviewed.</w:t>
      </w:r>
    </w:p>
    <w:p w14:paraId="7E902AE1" w14:textId="77777777" w:rsidR="00B61B5C" w:rsidRPr="00CA342E" w:rsidRDefault="00B61B5C" w:rsidP="00A67685">
      <w:pPr>
        <w:pStyle w:val="CM8"/>
        <w:spacing w:line="276" w:lineRule="atLeast"/>
        <w:jc w:val="both"/>
        <w:rPr>
          <w:rFonts w:ascii="Arial" w:hAnsi="Arial" w:cs="Arial"/>
          <w:color w:val="000000"/>
          <w:sz w:val="20"/>
          <w:szCs w:val="20"/>
        </w:rPr>
      </w:pPr>
    </w:p>
    <w:p w14:paraId="7BCA0314" w14:textId="77777777" w:rsidR="00B61B5C" w:rsidRDefault="00B61B5C" w:rsidP="00A67685">
      <w:pPr>
        <w:pStyle w:val="CM8"/>
        <w:spacing w:line="276" w:lineRule="atLeast"/>
        <w:jc w:val="both"/>
        <w:rPr>
          <w:rFonts w:ascii="Arial" w:hAnsi="Arial" w:cs="Arial"/>
          <w:color w:val="000000"/>
          <w:sz w:val="20"/>
          <w:szCs w:val="20"/>
        </w:rPr>
      </w:pPr>
      <w:r w:rsidRPr="00CA342E">
        <w:rPr>
          <w:rFonts w:ascii="Arial" w:hAnsi="Arial" w:cs="Arial"/>
          <w:color w:val="000000"/>
          <w:sz w:val="20"/>
          <w:szCs w:val="20"/>
        </w:rPr>
        <w:t xml:space="preserve">Alternate methods </w:t>
      </w:r>
      <w:r>
        <w:rPr>
          <w:rFonts w:ascii="Arial" w:hAnsi="Arial" w:cs="Arial"/>
          <w:color w:val="000000"/>
          <w:sz w:val="20"/>
          <w:szCs w:val="20"/>
        </w:rPr>
        <w:t>of chemical decontamination:  1</w:t>
      </w:r>
      <w:r w:rsidRPr="00CA342E">
        <w:rPr>
          <w:rFonts w:ascii="Arial" w:hAnsi="Arial" w:cs="Arial"/>
          <w:color w:val="000000"/>
          <w:sz w:val="20"/>
          <w:szCs w:val="20"/>
        </w:rPr>
        <w:t xml:space="preserve">N sulfuric or hydrochloric acid did not inactivate T-2 mycotoxin and only partially inactivated microcystin-LR, saxitoxin, and </w:t>
      </w:r>
      <w:proofErr w:type="spellStart"/>
      <w:r w:rsidRPr="00CA342E">
        <w:rPr>
          <w:rFonts w:ascii="Arial" w:hAnsi="Arial" w:cs="Arial"/>
          <w:color w:val="000000"/>
          <w:sz w:val="20"/>
          <w:szCs w:val="20"/>
        </w:rPr>
        <w:t>brevetoxin</w:t>
      </w:r>
      <w:proofErr w:type="spellEnd"/>
      <w:r w:rsidRPr="00CA342E">
        <w:rPr>
          <w:rFonts w:ascii="Arial" w:hAnsi="Arial" w:cs="Arial"/>
          <w:color w:val="000000"/>
          <w:sz w:val="20"/>
          <w:szCs w:val="20"/>
        </w:rPr>
        <w:t xml:space="preserve"> (PbTx-2). Tetrodotoxin and palytoxin were inactivated by hydrochloric acid, but only at relatively high molar concentrations. T2 was not inactivated by exposure to 18% formaldehyde plus methanol (16 h), 90% freon-113 + 10% acetic acid, calcium hypochlorite, sodium bisulfate, or mild oxidizing.</w:t>
      </w:r>
      <w:r w:rsidRPr="00CA342E">
        <w:rPr>
          <w:rFonts w:ascii="Arial" w:hAnsi="Arial" w:cs="Arial"/>
          <w:color w:val="000000"/>
          <w:position w:val="11"/>
          <w:sz w:val="20"/>
          <w:szCs w:val="20"/>
          <w:vertAlign w:val="superscript"/>
        </w:rPr>
        <w:t>17</w:t>
      </w:r>
      <w:r w:rsidRPr="00CA342E">
        <w:rPr>
          <w:rFonts w:ascii="Arial" w:hAnsi="Arial" w:cs="Arial"/>
          <w:color w:val="000000"/>
          <w:sz w:val="20"/>
          <w:szCs w:val="20"/>
        </w:rPr>
        <w:t xml:space="preserve"> Hydrogen peroxide was ineffective in inactivating T-2 mycotoxin. This agent did cause some inactivation of saxitoxin and tetrodotoxin, but required a 16 h</w:t>
      </w:r>
      <w:r>
        <w:rPr>
          <w:rFonts w:ascii="Arial" w:hAnsi="Arial" w:cs="Arial"/>
          <w:color w:val="000000"/>
          <w:sz w:val="20"/>
          <w:szCs w:val="20"/>
        </w:rPr>
        <w:t>r.</w:t>
      </w:r>
      <w:r w:rsidRPr="00CA342E">
        <w:rPr>
          <w:rFonts w:ascii="Arial" w:hAnsi="Arial" w:cs="Arial"/>
          <w:color w:val="000000"/>
          <w:sz w:val="20"/>
          <w:szCs w:val="20"/>
        </w:rPr>
        <w:t xml:space="preserve"> contact time in the presence of ultraviolet light. </w:t>
      </w:r>
    </w:p>
    <w:p w14:paraId="0FE51486" w14:textId="77777777" w:rsidR="00B61B5C" w:rsidRPr="00B61B5C" w:rsidRDefault="00B61B5C" w:rsidP="00A67685">
      <w:pPr>
        <w:pStyle w:val="Default"/>
        <w:jc w:val="both"/>
      </w:pPr>
    </w:p>
    <w:p w14:paraId="62510EB4" w14:textId="77777777" w:rsidR="00B61B5C" w:rsidRDefault="00B61B5C" w:rsidP="00A67685">
      <w:pPr>
        <w:jc w:val="both"/>
        <w:rPr>
          <w:rFonts w:ascii="Arial" w:hAnsi="Arial" w:cs="Arial"/>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B61B5C" w:rsidRPr="00CA342E" w14:paraId="5CA2B090" w14:textId="77777777" w:rsidTr="008C1EC7">
        <w:tc>
          <w:tcPr>
            <w:tcW w:w="9360" w:type="dxa"/>
            <w:tcBorders>
              <w:top w:val="double" w:sz="7" w:space="0" w:color="000000"/>
              <w:left w:val="single" w:sz="7" w:space="0" w:color="000000"/>
              <w:bottom w:val="single" w:sz="7" w:space="0" w:color="000000"/>
              <w:right w:val="single" w:sz="7" w:space="0" w:color="000000"/>
            </w:tcBorders>
          </w:tcPr>
          <w:p w14:paraId="5AADE7CE" w14:textId="77777777" w:rsidR="00B61B5C" w:rsidRPr="006935A4" w:rsidRDefault="00B61B5C" w:rsidP="008C1EC7">
            <w:pPr>
              <w:tabs>
                <w:tab w:val="left" w:pos="5460"/>
              </w:tabs>
              <w:spacing w:before="60"/>
              <w:rPr>
                <w:rFonts w:ascii="Arial" w:hAnsi="Arial" w:cs="Arial"/>
                <w:color w:val="000000"/>
                <w:sz w:val="18"/>
                <w:szCs w:val="18"/>
              </w:rPr>
            </w:pPr>
            <w:r w:rsidRPr="006935A4">
              <w:rPr>
                <w:rFonts w:ascii="Arial" w:hAnsi="Arial" w:cs="Arial"/>
                <w:color w:val="000000"/>
                <w:sz w:val="18"/>
                <w:szCs w:val="18"/>
              </w:rPr>
              <w:lastRenderedPageBreak/>
              <w:t>Name</w:t>
            </w:r>
            <w:r>
              <w:rPr>
                <w:rFonts w:ascii="Arial" w:hAnsi="Arial" w:cs="Arial"/>
                <w:color w:val="000000"/>
                <w:sz w:val="18"/>
                <w:szCs w:val="18"/>
              </w:rPr>
              <w:t xml:space="preserve"> (print) (Assessor):</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Title:</w:t>
            </w:r>
          </w:p>
        </w:tc>
      </w:tr>
      <w:tr w:rsidR="00B61B5C" w:rsidRPr="00CA342E" w14:paraId="3ABFEDE7" w14:textId="77777777" w:rsidTr="008C1EC7">
        <w:tc>
          <w:tcPr>
            <w:tcW w:w="9360" w:type="dxa"/>
            <w:tcBorders>
              <w:top w:val="single" w:sz="7" w:space="0" w:color="000000"/>
              <w:left w:val="single" w:sz="7" w:space="0" w:color="000000"/>
              <w:bottom w:val="single" w:sz="7" w:space="0" w:color="000000"/>
              <w:right w:val="single" w:sz="7" w:space="0" w:color="000000"/>
            </w:tcBorders>
          </w:tcPr>
          <w:p w14:paraId="685C5F46" w14:textId="77777777" w:rsidR="00B61B5C" w:rsidRPr="006935A4" w:rsidRDefault="00B61B5C"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(Assessor)</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B61B5C" w:rsidRPr="00CA342E" w14:paraId="29273D68" w14:textId="77777777" w:rsidTr="008C1EC7">
        <w:tc>
          <w:tcPr>
            <w:tcW w:w="9360" w:type="dxa"/>
            <w:tcBorders>
              <w:top w:val="single" w:sz="7" w:space="0" w:color="000000"/>
              <w:left w:val="single" w:sz="7" w:space="0" w:color="000000"/>
              <w:bottom w:val="single" w:sz="7" w:space="0" w:color="000000"/>
              <w:right w:val="single" w:sz="7" w:space="0" w:color="000000"/>
            </w:tcBorders>
          </w:tcPr>
          <w:p w14:paraId="701678DA" w14:textId="77777777" w:rsidR="00B61B5C" w:rsidRPr="006935A4" w:rsidRDefault="00B61B5C" w:rsidP="008C1EC7">
            <w:pPr>
              <w:tabs>
                <w:tab w:val="left" w:pos="6450"/>
              </w:tabs>
              <w:spacing w:before="60"/>
              <w:rPr>
                <w:rFonts w:ascii="Arial" w:hAnsi="Arial" w:cs="Arial"/>
                <w:color w:val="000000"/>
                <w:sz w:val="18"/>
                <w:szCs w:val="18"/>
              </w:rPr>
            </w:pPr>
            <w:r>
              <w:rPr>
                <w:rFonts w:ascii="Arial" w:hAnsi="Arial" w:cs="Arial"/>
                <w:color w:val="000000"/>
                <w:sz w:val="18"/>
                <w:szCs w:val="18"/>
              </w:rPr>
              <w:t>Name (print) (PI, Lab Manager, or Unit Head):</w:t>
            </w:r>
            <w:r w:rsidRPr="006935A4">
              <w:rPr>
                <w:rFonts w:ascii="Arial" w:hAnsi="Arial" w:cs="Arial"/>
                <w:color w:val="000000"/>
                <w:sz w:val="18"/>
                <w:szCs w:val="18"/>
              </w:rPr>
              <w:tab/>
              <w:t>Title:</w:t>
            </w:r>
          </w:p>
        </w:tc>
      </w:tr>
      <w:tr w:rsidR="00B61B5C" w:rsidRPr="00CA342E" w14:paraId="73868E93" w14:textId="77777777" w:rsidTr="008C1EC7">
        <w:tc>
          <w:tcPr>
            <w:tcW w:w="9360" w:type="dxa"/>
            <w:tcBorders>
              <w:top w:val="single" w:sz="7" w:space="0" w:color="000000"/>
              <w:left w:val="single" w:sz="7" w:space="0" w:color="000000"/>
              <w:bottom w:val="single" w:sz="7" w:space="0" w:color="000000"/>
              <w:right w:val="single" w:sz="7" w:space="0" w:color="000000"/>
            </w:tcBorders>
          </w:tcPr>
          <w:p w14:paraId="616B7C25" w14:textId="77777777" w:rsidR="00B61B5C" w:rsidRPr="006935A4" w:rsidRDefault="00B61B5C"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(PI, Lab Manager, or Unit Head)</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B61B5C" w:rsidRPr="00CA342E" w14:paraId="264961BB" w14:textId="77777777" w:rsidTr="008C1EC7">
        <w:tc>
          <w:tcPr>
            <w:tcW w:w="9360" w:type="dxa"/>
            <w:tcBorders>
              <w:top w:val="single" w:sz="7" w:space="0" w:color="000000"/>
              <w:left w:val="single" w:sz="7" w:space="0" w:color="000000"/>
              <w:bottom w:val="single" w:sz="7" w:space="0" w:color="000000"/>
              <w:right w:val="single" w:sz="7" w:space="0" w:color="000000"/>
            </w:tcBorders>
          </w:tcPr>
          <w:p w14:paraId="0C189644" w14:textId="6FC43709" w:rsidR="00B61B5C" w:rsidRPr="006935A4" w:rsidRDefault="00B61B5C" w:rsidP="008C1EC7">
            <w:pPr>
              <w:tabs>
                <w:tab w:val="left" w:pos="6450"/>
              </w:tabs>
              <w:spacing w:before="60"/>
              <w:rPr>
                <w:rFonts w:ascii="Arial" w:hAnsi="Arial" w:cs="Arial"/>
                <w:color w:val="000000"/>
                <w:sz w:val="18"/>
                <w:szCs w:val="18"/>
              </w:rPr>
            </w:pPr>
            <w:r>
              <w:rPr>
                <w:rFonts w:ascii="Arial" w:hAnsi="Arial" w:cs="Arial"/>
                <w:color w:val="000000"/>
                <w:sz w:val="18"/>
                <w:szCs w:val="18"/>
              </w:rPr>
              <w:t xml:space="preserve"> Date Sent to </w:t>
            </w:r>
            <w:r w:rsidR="00A67685">
              <w:rPr>
                <w:rFonts w:ascii="Arial" w:hAnsi="Arial" w:cs="Arial"/>
                <w:color w:val="000000"/>
                <w:sz w:val="18"/>
                <w:szCs w:val="18"/>
              </w:rPr>
              <w:t>UW Safety</w:t>
            </w:r>
            <w:r>
              <w:rPr>
                <w:rFonts w:ascii="Arial" w:hAnsi="Arial" w:cs="Arial"/>
                <w:color w:val="000000"/>
                <w:sz w:val="18"/>
                <w:szCs w:val="18"/>
              </w:rPr>
              <w:t>:</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 xml:space="preserve">                                     </w:t>
            </w:r>
          </w:p>
        </w:tc>
      </w:tr>
    </w:tbl>
    <w:p w14:paraId="68371128" w14:textId="77777777" w:rsidR="00B61B5C" w:rsidRPr="00CA342E" w:rsidRDefault="00B61B5C" w:rsidP="00B61B5C">
      <w:pPr>
        <w:rPr>
          <w:rFonts w:ascii="Arial" w:hAnsi="Arial" w:cs="Arial"/>
          <w:sz w:val="20"/>
          <w:szCs w:val="20"/>
        </w:rPr>
      </w:pPr>
    </w:p>
    <w:p w14:paraId="239A1DA6" w14:textId="77777777" w:rsidR="00B61B5C" w:rsidRPr="003367E2" w:rsidRDefault="00B61B5C" w:rsidP="00A67685">
      <w:pPr>
        <w:jc w:val="both"/>
        <w:rPr>
          <w:rFonts w:ascii="Arial" w:hAnsi="Arial" w:cs="Arial"/>
          <w:b/>
          <w:sz w:val="20"/>
          <w:szCs w:val="20"/>
        </w:rPr>
      </w:pPr>
      <w:r w:rsidRPr="00CA342E">
        <w:rPr>
          <w:rFonts w:ascii="Arial" w:hAnsi="Arial" w:cs="Arial"/>
          <w:b/>
          <w:sz w:val="20"/>
          <w:szCs w:val="20"/>
        </w:rPr>
        <w:t>VIII. RESOURCES</w:t>
      </w:r>
    </w:p>
    <w:p w14:paraId="6A703548" w14:textId="407CBC6B" w:rsidR="00B61B5C" w:rsidRPr="00CA342E" w:rsidRDefault="00B61B5C" w:rsidP="00A67685">
      <w:pPr>
        <w:numPr>
          <w:ilvl w:val="0"/>
          <w:numId w:val="29"/>
        </w:numPr>
        <w:spacing w:after="0" w:line="240" w:lineRule="auto"/>
        <w:jc w:val="both"/>
        <w:rPr>
          <w:rFonts w:ascii="Arial" w:hAnsi="Arial" w:cs="Arial"/>
          <w:sz w:val="20"/>
          <w:szCs w:val="20"/>
        </w:rPr>
      </w:pPr>
      <w:r w:rsidRPr="00CA342E">
        <w:rPr>
          <w:rFonts w:ascii="Arial" w:hAnsi="Arial" w:cs="Arial"/>
          <w:sz w:val="20"/>
          <w:szCs w:val="20"/>
        </w:rPr>
        <w:t>Work with toxins of biological o</w:t>
      </w:r>
      <w:r>
        <w:rPr>
          <w:rFonts w:ascii="Arial" w:hAnsi="Arial" w:cs="Arial"/>
          <w:sz w:val="20"/>
          <w:szCs w:val="20"/>
        </w:rPr>
        <w:t xml:space="preserve">rigin: </w:t>
      </w:r>
      <w:r w:rsidR="00A67685">
        <w:rPr>
          <w:rFonts w:ascii="Arial" w:hAnsi="Arial" w:cs="Arial"/>
          <w:sz w:val="20"/>
          <w:szCs w:val="20"/>
        </w:rPr>
        <w:t>UW Safety</w:t>
      </w:r>
      <w:r>
        <w:rPr>
          <w:rFonts w:ascii="Arial" w:hAnsi="Arial" w:cs="Arial"/>
          <w:sz w:val="20"/>
          <w:szCs w:val="20"/>
        </w:rPr>
        <w:t xml:space="preserve"> Department at 307-766-3277.</w:t>
      </w:r>
    </w:p>
    <w:p w14:paraId="6DB8EC09" w14:textId="6EC6F7D7" w:rsidR="00B61B5C" w:rsidRPr="00CA342E" w:rsidRDefault="00B61B5C" w:rsidP="00A67685">
      <w:pPr>
        <w:numPr>
          <w:ilvl w:val="0"/>
          <w:numId w:val="29"/>
        </w:numPr>
        <w:spacing w:after="0" w:line="240" w:lineRule="auto"/>
        <w:jc w:val="both"/>
        <w:rPr>
          <w:rFonts w:ascii="Arial" w:hAnsi="Arial" w:cs="Arial"/>
          <w:sz w:val="20"/>
          <w:szCs w:val="20"/>
        </w:rPr>
      </w:pPr>
      <w:r>
        <w:rPr>
          <w:rFonts w:ascii="Arial" w:hAnsi="Arial" w:cs="Arial"/>
          <w:sz w:val="20"/>
          <w:szCs w:val="20"/>
        </w:rPr>
        <w:t xml:space="preserve">Spills: </w:t>
      </w:r>
      <w:r w:rsidR="00A67685">
        <w:rPr>
          <w:rFonts w:ascii="Arial" w:hAnsi="Arial" w:cs="Arial"/>
          <w:sz w:val="20"/>
          <w:szCs w:val="20"/>
        </w:rPr>
        <w:t xml:space="preserve">UW Safety - </w:t>
      </w:r>
      <w:r>
        <w:rPr>
          <w:rFonts w:ascii="Arial" w:hAnsi="Arial" w:cs="Arial"/>
          <w:sz w:val="20"/>
          <w:szCs w:val="20"/>
        </w:rPr>
        <w:t>RMMC at 307-766-3698.</w:t>
      </w:r>
    </w:p>
    <w:p w14:paraId="6A441026" w14:textId="64B3904B" w:rsidR="00B61B5C" w:rsidRPr="00CA342E" w:rsidRDefault="00B61B5C" w:rsidP="00A67685">
      <w:pPr>
        <w:numPr>
          <w:ilvl w:val="0"/>
          <w:numId w:val="29"/>
        </w:numPr>
        <w:spacing w:after="0" w:line="240" w:lineRule="auto"/>
        <w:jc w:val="both"/>
        <w:rPr>
          <w:rFonts w:ascii="Arial" w:hAnsi="Arial" w:cs="Arial"/>
          <w:sz w:val="20"/>
          <w:szCs w:val="20"/>
        </w:rPr>
      </w:pPr>
      <w:r w:rsidRPr="00CA342E">
        <w:rPr>
          <w:rFonts w:ascii="Arial" w:hAnsi="Arial" w:cs="Arial"/>
          <w:sz w:val="20"/>
          <w:szCs w:val="20"/>
        </w:rPr>
        <w:t>Waste collecti</w:t>
      </w:r>
      <w:r>
        <w:rPr>
          <w:rFonts w:ascii="Arial" w:hAnsi="Arial" w:cs="Arial"/>
          <w:sz w:val="20"/>
          <w:szCs w:val="20"/>
        </w:rPr>
        <w:t xml:space="preserve">on and disposal information (including mixed waste which is a toxin waste mixed with radioactive waste) contact: </w:t>
      </w:r>
      <w:r w:rsidR="00A67685">
        <w:rPr>
          <w:rFonts w:ascii="Arial" w:hAnsi="Arial" w:cs="Arial"/>
          <w:sz w:val="20"/>
          <w:szCs w:val="20"/>
        </w:rPr>
        <w:t xml:space="preserve">UW </w:t>
      </w:r>
      <w:proofErr w:type="spellStart"/>
      <w:r w:rsidR="00A67685">
        <w:rPr>
          <w:rFonts w:ascii="Arial" w:hAnsi="Arial" w:cs="Arial"/>
          <w:sz w:val="20"/>
          <w:szCs w:val="20"/>
        </w:rPr>
        <w:t>Safey</w:t>
      </w:r>
      <w:proofErr w:type="spellEnd"/>
      <w:r w:rsidR="00A67685">
        <w:rPr>
          <w:rFonts w:ascii="Arial" w:hAnsi="Arial" w:cs="Arial"/>
          <w:sz w:val="20"/>
          <w:szCs w:val="20"/>
        </w:rPr>
        <w:t xml:space="preserve"> - </w:t>
      </w:r>
      <w:r>
        <w:rPr>
          <w:rFonts w:ascii="Arial" w:hAnsi="Arial" w:cs="Arial"/>
          <w:sz w:val="20"/>
          <w:szCs w:val="20"/>
        </w:rPr>
        <w:t xml:space="preserve">RMMC online at: </w:t>
      </w:r>
      <w:r w:rsidRPr="00CA342E">
        <w:rPr>
          <w:rFonts w:ascii="Arial" w:hAnsi="Arial" w:cs="Arial"/>
          <w:sz w:val="20"/>
          <w:szCs w:val="20"/>
        </w:rPr>
        <w:t xml:space="preserve"> </w:t>
      </w:r>
      <w:hyperlink r:id="rId10" w:history="1">
        <w:r w:rsidR="00A67685" w:rsidRPr="004C7D44">
          <w:rPr>
            <w:rStyle w:val="Hyperlink"/>
            <w:rFonts w:ascii="Arial" w:hAnsi="Arial" w:cs="Arial"/>
            <w:sz w:val="20"/>
            <w:szCs w:val="20"/>
          </w:rPr>
          <w:t>http://www.uwyo.edu/safety</w:t>
        </w:r>
      </w:hyperlink>
      <w:r w:rsidRPr="00CA342E">
        <w:rPr>
          <w:rFonts w:ascii="Arial" w:hAnsi="Arial" w:cs="Arial"/>
          <w:sz w:val="20"/>
          <w:szCs w:val="20"/>
        </w:rPr>
        <w:t xml:space="preserve"> </w:t>
      </w:r>
    </w:p>
    <w:p w14:paraId="502C7DCF" w14:textId="77777777" w:rsidR="00B61B5C" w:rsidRPr="00AC4256" w:rsidRDefault="00B61B5C" w:rsidP="00A67685">
      <w:pPr>
        <w:numPr>
          <w:ilvl w:val="0"/>
          <w:numId w:val="29"/>
        </w:numPr>
        <w:spacing w:after="0" w:line="240" w:lineRule="auto"/>
        <w:jc w:val="both"/>
        <w:rPr>
          <w:rFonts w:ascii="Arial" w:hAnsi="Arial" w:cs="Arial"/>
          <w:sz w:val="20"/>
          <w:szCs w:val="20"/>
        </w:rPr>
      </w:pPr>
      <w:r w:rsidRPr="00CA342E">
        <w:rPr>
          <w:rFonts w:ascii="Arial" w:hAnsi="Arial" w:cs="Arial"/>
          <w:sz w:val="20"/>
          <w:szCs w:val="20"/>
        </w:rPr>
        <w:t xml:space="preserve">Biosafety in Microbiological and Biomedical Laboratories (BMBL) 5th Edition. Centers for Disease Control and Prevention. Section VIII-G Toxin Agents, Appendix F: Select Agents and Toxins, and Appendix I: Guidelines for Work with Toxins of Biological Origin. </w:t>
      </w:r>
      <w:hyperlink r:id="rId11" w:history="1">
        <w:r w:rsidRPr="00CA342E">
          <w:rPr>
            <w:rStyle w:val="Hyperlink"/>
            <w:rFonts w:ascii="Arial" w:hAnsi="Arial" w:cs="Arial"/>
            <w:sz w:val="20"/>
            <w:szCs w:val="20"/>
          </w:rPr>
          <w:t>http://www.cdc.gov/od/ohs/biosfty/bmbl5/bmbl5toc.htm</w:t>
        </w:r>
      </w:hyperlink>
    </w:p>
    <w:p w14:paraId="55E35FA4" w14:textId="77777777" w:rsidR="00B61B5C" w:rsidRPr="00CA342E" w:rsidRDefault="00B61B5C" w:rsidP="00A67685">
      <w:pPr>
        <w:spacing w:after="0" w:line="240" w:lineRule="auto"/>
        <w:ind w:left="720"/>
        <w:jc w:val="both"/>
        <w:rPr>
          <w:rFonts w:ascii="Arial" w:hAnsi="Arial" w:cs="Arial"/>
          <w:sz w:val="20"/>
          <w:szCs w:val="20"/>
        </w:rPr>
      </w:pPr>
    </w:p>
    <w:p w14:paraId="0ED8F092" w14:textId="77777777" w:rsidR="00002BFA" w:rsidRDefault="00002BFA" w:rsidP="00A67685">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jc w:val="both"/>
      </w:pPr>
    </w:p>
    <w:sectPr w:rsidR="00002BFA" w:rsidSect="00A67685">
      <w:headerReference w:type="default" r:id="rId12"/>
      <w:footerReference w:type="default" r:id="rId13"/>
      <w:headerReference w:type="first" r:id="rId14"/>
      <w:footerReference w:type="first" r:id="rId15"/>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4D7A7" w14:textId="77777777" w:rsidR="006D13A5" w:rsidRDefault="006D13A5" w:rsidP="00791DCE">
      <w:pPr>
        <w:spacing w:after="0" w:line="240" w:lineRule="auto"/>
      </w:pPr>
      <w:r>
        <w:separator/>
      </w:r>
    </w:p>
  </w:endnote>
  <w:endnote w:type="continuationSeparator" w:id="0">
    <w:p w14:paraId="254F93C1" w14:textId="77777777" w:rsidR="006D13A5" w:rsidRDefault="006D13A5"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678195414"/>
      <w:docPartObj>
        <w:docPartGallery w:val="Page Numbers (Bottom of Page)"/>
        <w:docPartUnique/>
      </w:docPartObj>
    </w:sdtPr>
    <w:sdtEndPr/>
    <w:sdtContent>
      <w:sdt>
        <w:sdtPr>
          <w:rPr>
            <w:sz w:val="20"/>
            <w:szCs w:val="20"/>
          </w:rPr>
          <w:id w:val="-1937282224"/>
          <w:docPartObj>
            <w:docPartGallery w:val="Page Numbers (Top of Page)"/>
            <w:docPartUnique/>
          </w:docPartObj>
        </w:sdtPr>
        <w:sdtEndPr/>
        <w:sdtContent>
          <w:p w14:paraId="15450239" w14:textId="19C07A12" w:rsidR="00A67685" w:rsidRPr="006620EE" w:rsidRDefault="00A67685" w:rsidP="00A67685">
            <w:pPr>
              <w:pStyle w:val="Footer"/>
              <w:rPr>
                <w:rFonts w:eastAsia="Times New Roman"/>
                <w:sz w:val="20"/>
                <w:szCs w:val="20"/>
              </w:rPr>
            </w:pPr>
            <w:r w:rsidRPr="006620EE">
              <w:rPr>
                <w:sz w:val="20"/>
                <w:szCs w:val="20"/>
              </w:rPr>
              <w:t>Reviewed &amp; Revised</w:t>
            </w:r>
            <w:r>
              <w:rPr>
                <w:sz w:val="20"/>
                <w:szCs w:val="20"/>
              </w:rPr>
              <w:t xml:space="preserve"> </w:t>
            </w:r>
            <w:r w:rsidR="00CC5B76">
              <w:rPr>
                <w:sz w:val="20"/>
                <w:szCs w:val="20"/>
              </w:rPr>
              <w:t>10</w:t>
            </w:r>
            <w:r>
              <w:rPr>
                <w:sz w:val="20"/>
                <w:szCs w:val="20"/>
              </w:rPr>
              <w:t>-20</w:t>
            </w:r>
            <w:r w:rsidR="00CC5B76">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18593453" w:displacedByCustomXml="next"/>
  <w:sdt>
    <w:sdtPr>
      <w:rPr>
        <w:sz w:val="20"/>
        <w:szCs w:val="20"/>
      </w:rPr>
      <w:id w:val="942814295"/>
      <w:docPartObj>
        <w:docPartGallery w:val="Page Numbers (Bottom of Page)"/>
        <w:docPartUnique/>
      </w:docPartObj>
    </w:sdtPr>
    <w:sdtEndPr/>
    <w:sdtContent>
      <w:bookmarkStart w:id="2" w:name="_Hlk18593913" w:displacedByCustomXml="next"/>
      <w:sdt>
        <w:sdtPr>
          <w:rPr>
            <w:sz w:val="20"/>
            <w:szCs w:val="20"/>
          </w:rPr>
          <w:id w:val="1728636285"/>
          <w:docPartObj>
            <w:docPartGallery w:val="Page Numbers (Top of Page)"/>
            <w:docPartUnique/>
          </w:docPartObj>
        </w:sdtPr>
        <w:sdtEndPr/>
        <w:sdtContent>
          <w:p w14:paraId="0E6D8D9D" w14:textId="70974D5C" w:rsidR="00A67685" w:rsidRPr="006620EE" w:rsidRDefault="00A67685" w:rsidP="00A67685">
            <w:pPr>
              <w:pStyle w:val="Footer"/>
              <w:rPr>
                <w:rFonts w:eastAsia="Times New Roman"/>
                <w:sz w:val="20"/>
                <w:szCs w:val="20"/>
              </w:rPr>
            </w:pPr>
            <w:r w:rsidRPr="006620EE">
              <w:rPr>
                <w:sz w:val="20"/>
                <w:szCs w:val="20"/>
              </w:rPr>
              <w:t>Reviewed &amp; Revised</w:t>
            </w:r>
            <w:r>
              <w:rPr>
                <w:sz w:val="20"/>
                <w:szCs w:val="20"/>
              </w:rPr>
              <w:t xml:space="preserve"> </w:t>
            </w:r>
            <w:r w:rsidR="00CC5B76">
              <w:rPr>
                <w:sz w:val="20"/>
                <w:szCs w:val="20"/>
              </w:rPr>
              <w:t>10</w:t>
            </w:r>
            <w:r>
              <w:rPr>
                <w:sz w:val="20"/>
                <w:szCs w:val="20"/>
              </w:rPr>
              <w:t>-20</w:t>
            </w:r>
            <w:r w:rsidR="00CC5B76">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bookmarkEnd w:id="2" w:displacedByCustomXml="next"/>
    </w:sdtContent>
  </w:sdt>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90607" w14:textId="77777777" w:rsidR="006D13A5" w:rsidRDefault="006D13A5" w:rsidP="00791DCE">
      <w:pPr>
        <w:spacing w:after="0" w:line="240" w:lineRule="auto"/>
      </w:pPr>
      <w:r>
        <w:separator/>
      </w:r>
    </w:p>
  </w:footnote>
  <w:footnote w:type="continuationSeparator" w:id="0">
    <w:p w14:paraId="1EAF42BF" w14:textId="77777777" w:rsidR="006D13A5" w:rsidRDefault="006D13A5"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DBA30" w14:textId="4C3FE67B" w:rsidR="00D144A6" w:rsidRPr="00880E15" w:rsidRDefault="00CC5B76" w:rsidP="00791DCE">
    <w:pPr>
      <w:pStyle w:val="Header"/>
      <w:rPr>
        <w:rFonts w:ascii="Arial" w:hAnsi="Arial" w:cs="Arial"/>
        <w:sz w:val="24"/>
        <w:szCs w:val="24"/>
      </w:rPr>
    </w:pPr>
    <w:r>
      <w:rPr>
        <w:noProof/>
        <w:sz w:val="48"/>
        <w:szCs w:val="48"/>
      </w:rPr>
      <w:drawing>
        <wp:anchor distT="0" distB="0" distL="114300" distR="114300" simplePos="0" relativeHeight="251659264" behindDoc="0" locked="0" layoutInCell="1" allowOverlap="0" wp14:anchorId="2EC44642" wp14:editId="199C5F2D">
          <wp:simplePos x="0" y="0"/>
          <wp:positionH relativeFrom="column">
            <wp:posOffset>4114800</wp:posOffset>
          </wp:positionH>
          <wp:positionV relativeFrom="page">
            <wp:posOffset>209550</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SOP Example</w:t>
    </w:r>
  </w:p>
  <w:p w14:paraId="074C97A9" w14:textId="45873BFF"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33DF" w14:textId="6153147C" w:rsidR="00D144A6" w:rsidRPr="00880E15" w:rsidRDefault="00CC5B76" w:rsidP="00593809">
    <w:pPr>
      <w:pStyle w:val="Header"/>
      <w:rPr>
        <w:rFonts w:ascii="Arial" w:hAnsi="Arial" w:cs="Arial"/>
        <w:sz w:val="24"/>
        <w:szCs w:val="24"/>
      </w:rPr>
    </w:pPr>
    <w:r>
      <w:rPr>
        <w:noProof/>
        <w:sz w:val="48"/>
        <w:szCs w:val="48"/>
      </w:rPr>
      <w:drawing>
        <wp:anchor distT="0" distB="0" distL="114300" distR="114300" simplePos="0" relativeHeight="251661312" behindDoc="0" locked="0" layoutInCell="1" allowOverlap="0" wp14:anchorId="7A20D0D3" wp14:editId="442F38B4">
          <wp:simplePos x="0" y="0"/>
          <wp:positionH relativeFrom="column">
            <wp:posOffset>4143375</wp:posOffset>
          </wp:positionH>
          <wp:positionV relativeFrom="page">
            <wp:posOffset>219075</wp:posOffset>
          </wp:positionV>
          <wp:extent cx="2423160" cy="7588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0EF">
      <w:rPr>
        <w:rFonts w:ascii="Arial" w:hAnsi="Arial" w:cs="Arial"/>
        <w:sz w:val="24"/>
        <w:szCs w:val="24"/>
      </w:rPr>
      <w:t>Group of Chemicals S</w:t>
    </w:r>
    <w:r w:rsidR="00FE63AA">
      <w:rPr>
        <w:rFonts w:ascii="Arial" w:hAnsi="Arial" w:cs="Arial"/>
        <w:sz w:val="24"/>
        <w:szCs w:val="24"/>
      </w:rPr>
      <w:t>O</w:t>
    </w:r>
    <w:r w:rsidR="008D40EF">
      <w:rPr>
        <w:rFonts w:ascii="Arial" w:hAnsi="Arial" w:cs="Arial"/>
        <w:sz w:val="24"/>
        <w:szCs w:val="24"/>
      </w:rPr>
      <w:t xml:space="preserve">P </w:t>
    </w:r>
    <w:r w:rsidR="00F61B9C">
      <w:rPr>
        <w:rFonts w:ascii="Arial" w:hAnsi="Arial" w:cs="Arial"/>
        <w:sz w:val="24"/>
        <w:szCs w:val="24"/>
      </w:rPr>
      <w:t>Example</w:t>
    </w:r>
  </w:p>
  <w:p w14:paraId="3BABAD21" w14:textId="77777777"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FBB"/>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0D04F8"/>
    <w:multiLevelType w:val="hybridMultilevel"/>
    <w:tmpl w:val="8788F9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0C05576"/>
    <w:multiLevelType w:val="hybridMultilevel"/>
    <w:tmpl w:val="99AE20BC"/>
    <w:lvl w:ilvl="0" w:tplc="F8F2EA0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550A6"/>
    <w:multiLevelType w:val="hybridMultilevel"/>
    <w:tmpl w:val="47284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C75649C"/>
    <w:multiLevelType w:val="hybridMultilevel"/>
    <w:tmpl w:val="917CB8B6"/>
    <w:lvl w:ilvl="0" w:tplc="D6283AB6">
      <w:start w:val="1"/>
      <w:numFmt w:val="decimal"/>
      <w:lvlText w:val="%1."/>
      <w:lvlJc w:val="left"/>
      <w:pPr>
        <w:tabs>
          <w:tab w:val="num" w:pos="720"/>
        </w:tabs>
        <w:ind w:left="720" w:hanging="360"/>
      </w:pPr>
      <w:rPr>
        <w:rFonts w:ascii="Franklin Gothic Book" w:eastAsia="SimSun" w:hAnsi="Franklin Gothic Book"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E770A"/>
    <w:multiLevelType w:val="hybridMultilevel"/>
    <w:tmpl w:val="0C12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61643"/>
    <w:multiLevelType w:val="hybridMultilevel"/>
    <w:tmpl w:val="900228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15:restartNumberingAfterBreak="0">
    <w:nsid w:val="3565286E"/>
    <w:multiLevelType w:val="hybridMultilevel"/>
    <w:tmpl w:val="6C5C9A86"/>
    <w:lvl w:ilvl="0" w:tplc="F1B41BC0">
      <w:start w:val="1"/>
      <w:numFmt w:val="upperRoman"/>
      <w:lvlText w:val="%1."/>
      <w:lvlJc w:val="left"/>
      <w:pPr>
        <w:tabs>
          <w:tab w:val="num" w:pos="1830"/>
        </w:tabs>
        <w:ind w:left="1830" w:hanging="720"/>
      </w:pPr>
      <w:rPr>
        <w:rFonts w:hint="default"/>
        <w:b/>
        <w:i w:val="0"/>
        <w:sz w:val="24"/>
        <w:szCs w:val="24"/>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0EA06BA"/>
    <w:multiLevelType w:val="hybridMultilevel"/>
    <w:tmpl w:val="CE8C620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712D10"/>
    <w:multiLevelType w:val="hybridMultilevel"/>
    <w:tmpl w:val="091A9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02058"/>
    <w:multiLevelType w:val="hybridMultilevel"/>
    <w:tmpl w:val="07D03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71C154FD"/>
    <w:multiLevelType w:val="hybridMultilevel"/>
    <w:tmpl w:val="6546A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956FF8"/>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7CA11163"/>
    <w:multiLevelType w:val="hybridMultilevel"/>
    <w:tmpl w:val="86829E38"/>
    <w:lvl w:ilvl="0" w:tplc="0409000F">
      <w:start w:val="2"/>
      <w:numFmt w:val="decimal"/>
      <w:lvlText w:val="%1."/>
      <w:lvlJc w:val="left"/>
      <w:pPr>
        <w:tabs>
          <w:tab w:val="num" w:pos="360"/>
        </w:tabs>
        <w:ind w:left="360" w:hanging="360"/>
      </w:pPr>
      <w:rPr>
        <w:rFonts w:hint="default"/>
      </w:rPr>
    </w:lvl>
    <w:lvl w:ilvl="1" w:tplc="73867C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0"/>
  </w:num>
  <w:num w:numId="3">
    <w:abstractNumId w:val="29"/>
  </w:num>
  <w:num w:numId="4">
    <w:abstractNumId w:val="32"/>
  </w:num>
  <w:num w:numId="5">
    <w:abstractNumId w:val="8"/>
  </w:num>
  <w:num w:numId="6">
    <w:abstractNumId w:val="4"/>
  </w:num>
  <w:num w:numId="7">
    <w:abstractNumId w:val="27"/>
  </w:num>
  <w:num w:numId="8">
    <w:abstractNumId w:val="9"/>
  </w:num>
  <w:num w:numId="9">
    <w:abstractNumId w:val="21"/>
  </w:num>
  <w:num w:numId="10">
    <w:abstractNumId w:val="25"/>
  </w:num>
  <w:num w:numId="11">
    <w:abstractNumId w:val="5"/>
  </w:num>
  <w:num w:numId="12">
    <w:abstractNumId w:val="3"/>
  </w:num>
  <w:num w:numId="13">
    <w:abstractNumId w:val="6"/>
  </w:num>
  <w:num w:numId="14">
    <w:abstractNumId w:val="18"/>
  </w:num>
  <w:num w:numId="15">
    <w:abstractNumId w:val="13"/>
  </w:num>
  <w:num w:numId="16">
    <w:abstractNumId w:val="14"/>
  </w:num>
  <w:num w:numId="17">
    <w:abstractNumId w:val="26"/>
  </w:num>
  <w:num w:numId="18">
    <w:abstractNumId w:val="11"/>
  </w:num>
  <w:num w:numId="19">
    <w:abstractNumId w:val="22"/>
  </w:num>
  <w:num w:numId="20">
    <w:abstractNumId w:val="17"/>
  </w:num>
  <w:num w:numId="21">
    <w:abstractNumId w:val="33"/>
  </w:num>
  <w:num w:numId="22">
    <w:abstractNumId w:val="23"/>
  </w:num>
  <w:num w:numId="23">
    <w:abstractNumId w:val="28"/>
  </w:num>
  <w:num w:numId="24">
    <w:abstractNumId w:val="31"/>
  </w:num>
  <w:num w:numId="25">
    <w:abstractNumId w:val="24"/>
  </w:num>
  <w:num w:numId="26">
    <w:abstractNumId w:val="10"/>
  </w:num>
  <w:num w:numId="27">
    <w:abstractNumId w:val="12"/>
  </w:num>
  <w:num w:numId="28">
    <w:abstractNumId w:val="16"/>
  </w:num>
  <w:num w:numId="29">
    <w:abstractNumId w:val="2"/>
  </w:num>
  <w:num w:numId="30">
    <w:abstractNumId w:val="15"/>
  </w:num>
  <w:num w:numId="31">
    <w:abstractNumId w:val="30"/>
  </w:num>
  <w:num w:numId="32">
    <w:abstractNumId w:val="0"/>
  </w:num>
  <w:num w:numId="33">
    <w:abstractNumId w:val="1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02BFA"/>
    <w:rsid w:val="00025526"/>
    <w:rsid w:val="00041128"/>
    <w:rsid w:val="00050529"/>
    <w:rsid w:val="000519D9"/>
    <w:rsid w:val="00052753"/>
    <w:rsid w:val="00064CE1"/>
    <w:rsid w:val="0009183B"/>
    <w:rsid w:val="00094DF5"/>
    <w:rsid w:val="000C16A6"/>
    <w:rsid w:val="000C5690"/>
    <w:rsid w:val="00112DED"/>
    <w:rsid w:val="00146FDE"/>
    <w:rsid w:val="00160092"/>
    <w:rsid w:val="001749F2"/>
    <w:rsid w:val="001C0A18"/>
    <w:rsid w:val="001C6D5E"/>
    <w:rsid w:val="001E251E"/>
    <w:rsid w:val="001E5368"/>
    <w:rsid w:val="001F009C"/>
    <w:rsid w:val="001F5924"/>
    <w:rsid w:val="002161B3"/>
    <w:rsid w:val="002233AE"/>
    <w:rsid w:val="00225A6A"/>
    <w:rsid w:val="00226B54"/>
    <w:rsid w:val="00264B99"/>
    <w:rsid w:val="002B5567"/>
    <w:rsid w:val="002B7CDD"/>
    <w:rsid w:val="002C03DA"/>
    <w:rsid w:val="002E13BD"/>
    <w:rsid w:val="002E35E8"/>
    <w:rsid w:val="00301861"/>
    <w:rsid w:val="00305641"/>
    <w:rsid w:val="00332EB2"/>
    <w:rsid w:val="00343304"/>
    <w:rsid w:val="00344F43"/>
    <w:rsid w:val="00392D36"/>
    <w:rsid w:val="0039721A"/>
    <w:rsid w:val="003B73DB"/>
    <w:rsid w:val="003C0C99"/>
    <w:rsid w:val="003C2195"/>
    <w:rsid w:val="003D3C49"/>
    <w:rsid w:val="003F063D"/>
    <w:rsid w:val="0040497F"/>
    <w:rsid w:val="00424118"/>
    <w:rsid w:val="0046178C"/>
    <w:rsid w:val="004B0494"/>
    <w:rsid w:val="004F0832"/>
    <w:rsid w:val="00505187"/>
    <w:rsid w:val="0056357D"/>
    <w:rsid w:val="00570987"/>
    <w:rsid w:val="00585DFF"/>
    <w:rsid w:val="005902C0"/>
    <w:rsid w:val="00592047"/>
    <w:rsid w:val="00593809"/>
    <w:rsid w:val="005956E6"/>
    <w:rsid w:val="005B4EF7"/>
    <w:rsid w:val="005C19F5"/>
    <w:rsid w:val="005D76CB"/>
    <w:rsid w:val="00600680"/>
    <w:rsid w:val="00603670"/>
    <w:rsid w:val="00615833"/>
    <w:rsid w:val="006249ED"/>
    <w:rsid w:val="00655065"/>
    <w:rsid w:val="006602B4"/>
    <w:rsid w:val="006B17B8"/>
    <w:rsid w:val="006C3056"/>
    <w:rsid w:val="006C4F71"/>
    <w:rsid w:val="006C5103"/>
    <w:rsid w:val="006C7D77"/>
    <w:rsid w:val="006D13A5"/>
    <w:rsid w:val="006E0257"/>
    <w:rsid w:val="006E3DA2"/>
    <w:rsid w:val="00734675"/>
    <w:rsid w:val="00740F59"/>
    <w:rsid w:val="007607BD"/>
    <w:rsid w:val="00761A3D"/>
    <w:rsid w:val="00764330"/>
    <w:rsid w:val="00766F13"/>
    <w:rsid w:val="0077214C"/>
    <w:rsid w:val="00781452"/>
    <w:rsid w:val="00784B08"/>
    <w:rsid w:val="00791DCE"/>
    <w:rsid w:val="007A617B"/>
    <w:rsid w:val="007A6250"/>
    <w:rsid w:val="007D1125"/>
    <w:rsid w:val="007D2AB0"/>
    <w:rsid w:val="007E1367"/>
    <w:rsid w:val="008123D3"/>
    <w:rsid w:val="00815085"/>
    <w:rsid w:val="00825750"/>
    <w:rsid w:val="00840EE6"/>
    <w:rsid w:val="00861B14"/>
    <w:rsid w:val="00881BA6"/>
    <w:rsid w:val="00886E41"/>
    <w:rsid w:val="00894557"/>
    <w:rsid w:val="008D40EF"/>
    <w:rsid w:val="008E0909"/>
    <w:rsid w:val="008F51E9"/>
    <w:rsid w:val="00904284"/>
    <w:rsid w:val="0090627E"/>
    <w:rsid w:val="00914AA3"/>
    <w:rsid w:val="009426B6"/>
    <w:rsid w:val="00977F4C"/>
    <w:rsid w:val="009865EE"/>
    <w:rsid w:val="009B3C83"/>
    <w:rsid w:val="00A04E84"/>
    <w:rsid w:val="00A06103"/>
    <w:rsid w:val="00A1131D"/>
    <w:rsid w:val="00A13AA6"/>
    <w:rsid w:val="00A24DD4"/>
    <w:rsid w:val="00A50EFF"/>
    <w:rsid w:val="00A67530"/>
    <w:rsid w:val="00A67685"/>
    <w:rsid w:val="00A7436D"/>
    <w:rsid w:val="00A90751"/>
    <w:rsid w:val="00A93C5C"/>
    <w:rsid w:val="00A94281"/>
    <w:rsid w:val="00B0390F"/>
    <w:rsid w:val="00B2371C"/>
    <w:rsid w:val="00B27D25"/>
    <w:rsid w:val="00B61B5C"/>
    <w:rsid w:val="00B724A9"/>
    <w:rsid w:val="00B94DC7"/>
    <w:rsid w:val="00BA1F99"/>
    <w:rsid w:val="00BB1BB9"/>
    <w:rsid w:val="00BC3C68"/>
    <w:rsid w:val="00BE57CC"/>
    <w:rsid w:val="00BF6CC5"/>
    <w:rsid w:val="00BF6E01"/>
    <w:rsid w:val="00C65B52"/>
    <w:rsid w:val="00C65D2D"/>
    <w:rsid w:val="00C824B3"/>
    <w:rsid w:val="00CA40B8"/>
    <w:rsid w:val="00CB1DF3"/>
    <w:rsid w:val="00CC2D4E"/>
    <w:rsid w:val="00CC5292"/>
    <w:rsid w:val="00CC5B76"/>
    <w:rsid w:val="00CC7A50"/>
    <w:rsid w:val="00CD4B41"/>
    <w:rsid w:val="00CD4F14"/>
    <w:rsid w:val="00CE7EE0"/>
    <w:rsid w:val="00D130BD"/>
    <w:rsid w:val="00D144A6"/>
    <w:rsid w:val="00D44B75"/>
    <w:rsid w:val="00D56AC5"/>
    <w:rsid w:val="00D8282D"/>
    <w:rsid w:val="00D87DAF"/>
    <w:rsid w:val="00DA41BF"/>
    <w:rsid w:val="00DA719E"/>
    <w:rsid w:val="00DC5E6E"/>
    <w:rsid w:val="00DD2854"/>
    <w:rsid w:val="00DD6EDB"/>
    <w:rsid w:val="00DE1749"/>
    <w:rsid w:val="00DE1D1B"/>
    <w:rsid w:val="00DE2817"/>
    <w:rsid w:val="00DE69A8"/>
    <w:rsid w:val="00E00A26"/>
    <w:rsid w:val="00E04333"/>
    <w:rsid w:val="00E16A18"/>
    <w:rsid w:val="00EA2BED"/>
    <w:rsid w:val="00EF393E"/>
    <w:rsid w:val="00EF682B"/>
    <w:rsid w:val="00EF7E20"/>
    <w:rsid w:val="00F02C22"/>
    <w:rsid w:val="00F04347"/>
    <w:rsid w:val="00F4092E"/>
    <w:rsid w:val="00F61B9C"/>
    <w:rsid w:val="00F701D6"/>
    <w:rsid w:val="00F72D4C"/>
    <w:rsid w:val="00FA1CAC"/>
    <w:rsid w:val="00FB6579"/>
    <w:rsid w:val="00FD0AB2"/>
    <w:rsid w:val="00FE63AA"/>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C1BC8"/>
  <w15:docId w15:val="{4B781E9A-C181-421D-BE84-96890DFB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1">
    <w:name w:val="heading 1"/>
    <w:basedOn w:val="Normal"/>
    <w:next w:val="Normal"/>
    <w:link w:val="Heading1Char"/>
    <w:uiPriority w:val="9"/>
    <w:qFormat/>
    <w:rsid w:val="00002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customStyle="1" w:styleId="Heading1Char">
    <w:name w:val="Heading 1 Char"/>
    <w:basedOn w:val="DefaultParagraphFont"/>
    <w:link w:val="Heading1"/>
    <w:uiPriority w:val="9"/>
    <w:rsid w:val="00002BFA"/>
    <w:rPr>
      <w:rFonts w:asciiTheme="majorHAnsi" w:eastAsiaTheme="majorEastAsia" w:hAnsiTheme="majorHAnsi" w:cstheme="majorBidi"/>
      <w:b/>
      <w:bCs/>
      <w:color w:val="365F91" w:themeColor="accent1" w:themeShade="BF"/>
      <w:sz w:val="28"/>
      <w:szCs w:val="28"/>
    </w:rPr>
  </w:style>
  <w:style w:type="paragraph" w:customStyle="1" w:styleId="CM7">
    <w:name w:val="CM7"/>
    <w:basedOn w:val="Normal"/>
    <w:next w:val="Normal"/>
    <w:rsid w:val="00B61B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2">
    <w:name w:val="CM2"/>
    <w:basedOn w:val="Default"/>
    <w:next w:val="Default"/>
    <w:rsid w:val="00B61B5C"/>
    <w:pPr>
      <w:widowControl w:val="0"/>
      <w:spacing w:line="276" w:lineRule="atLeast"/>
    </w:pPr>
    <w:rPr>
      <w:rFonts w:eastAsia="Times New Roman"/>
      <w:color w:val="auto"/>
    </w:rPr>
  </w:style>
  <w:style w:type="paragraph" w:customStyle="1" w:styleId="CM8">
    <w:name w:val="CM8"/>
    <w:basedOn w:val="Default"/>
    <w:next w:val="Default"/>
    <w:rsid w:val="00B61B5C"/>
    <w:pPr>
      <w:widowControl w:val="0"/>
    </w:pPr>
    <w:rPr>
      <w:rFonts w:eastAsia="Times New Roman"/>
      <w:color w:val="auto"/>
    </w:rPr>
  </w:style>
  <w:style w:type="character" w:styleId="UnresolvedMention">
    <w:name w:val="Unresolved Mention"/>
    <w:basedOn w:val="DefaultParagraphFont"/>
    <w:uiPriority w:val="99"/>
    <w:semiHidden/>
    <w:unhideWhenUsed/>
    <w:rsid w:val="00A67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od/sap/sap/toxinamt.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od/ohs/biosfty/bmbl5/bmbl5toc.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wyo.edu/safety" TargetMode="External"/><Relationship Id="rId4" Type="http://schemas.openxmlformats.org/officeDocument/2006/relationships/settings" Target="settings.xml"/><Relationship Id="rId9" Type="http://schemas.openxmlformats.org/officeDocument/2006/relationships/hyperlink" Target="http://www.uwyo.edu/safet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72895-A977-4E98-BEFC-0D5D48B4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6</cp:revision>
  <cp:lastPrinted>2012-01-11T17:54:00Z</cp:lastPrinted>
  <dcterms:created xsi:type="dcterms:W3CDTF">2012-02-14T15:55:00Z</dcterms:created>
  <dcterms:modified xsi:type="dcterms:W3CDTF">2022-10-24T17:35:00Z</dcterms:modified>
</cp:coreProperties>
</file>