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903"/>
      </w:tblGrid>
      <w:tr w:rsidR="000A631D" w14:paraId="06814BDB" w14:textId="77777777">
        <w:trPr>
          <w:cantSplit/>
        </w:trPr>
        <w:tc>
          <w:tcPr>
            <w:tcW w:w="9903" w:type="dxa"/>
            <w:tcBorders>
              <w:top w:val="nil"/>
              <w:left w:val="nil"/>
              <w:bottom w:val="nil"/>
              <w:right w:val="nil"/>
            </w:tcBorders>
          </w:tcPr>
          <w:p w14:paraId="228C96C8" w14:textId="77777777" w:rsidR="000A631D" w:rsidRDefault="000A631D">
            <w:pPr>
              <w:pStyle w:val="Lettertype"/>
            </w:pPr>
            <w:r>
              <w:rPr>
                <w:noProof/>
              </w:rPr>
              <w:drawing>
                <wp:inline distT="0" distB="0" distL="0" distR="0" wp14:anchorId="16D26AF2" wp14:editId="215D817C">
                  <wp:extent cx="3638550" cy="952500"/>
                  <wp:effectExtent l="19050" t="0" r="0" b="0"/>
                  <wp:docPr id="1" name="Picture 0" descr="2 line_UWSignature 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2 line_UWSignature 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31D" w14:paraId="46BE8A74" w14:textId="77777777">
        <w:trPr>
          <w:cantSplit/>
          <w:trHeight w:val="837"/>
        </w:trPr>
        <w:tc>
          <w:tcPr>
            <w:tcW w:w="9903" w:type="dxa"/>
            <w:tcBorders>
              <w:top w:val="nil"/>
              <w:left w:val="nil"/>
              <w:bottom w:val="nil"/>
              <w:right w:val="nil"/>
            </w:tcBorders>
          </w:tcPr>
          <w:p w14:paraId="2947B1D4" w14:textId="77777777" w:rsidR="000A631D" w:rsidRDefault="000A631D">
            <w:pPr>
              <w:pStyle w:val="BodyText"/>
              <w:rPr>
                <w:sz w:val="22"/>
                <w:szCs w:val="22"/>
              </w:rPr>
            </w:pPr>
            <w:r w:rsidRPr="00530294">
              <w:rPr>
                <w:sz w:val="22"/>
                <w:szCs w:val="22"/>
              </w:rPr>
              <w:t>College of Agriculture</w:t>
            </w:r>
            <w:r>
              <w:rPr>
                <w:sz w:val="22"/>
                <w:szCs w:val="22"/>
              </w:rPr>
              <w:t xml:space="preserve">, Life Sciences and Natural Resources </w:t>
            </w:r>
          </w:p>
          <w:p w14:paraId="3E7DDE5E" w14:textId="1C56F482" w:rsidR="000A631D" w:rsidRPr="00530294" w:rsidRDefault="000A631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Office of </w:t>
            </w:r>
            <w:r w:rsidR="00BF7FCC">
              <w:rPr>
                <w:sz w:val="22"/>
                <w:szCs w:val="22"/>
              </w:rPr>
              <w:t>Academic and Student Programs</w:t>
            </w:r>
          </w:p>
          <w:p w14:paraId="7DC89981" w14:textId="77777777" w:rsidR="000A631D" w:rsidRPr="00530294" w:rsidRDefault="000A631D">
            <w:pPr>
              <w:pStyle w:val="BodyText"/>
              <w:rPr>
                <w:sz w:val="18"/>
                <w:szCs w:val="18"/>
              </w:rPr>
            </w:pPr>
            <w:r w:rsidRPr="00530294">
              <w:rPr>
                <w:sz w:val="18"/>
                <w:szCs w:val="18"/>
              </w:rPr>
              <w:t>Dept. 3354 • 1000 E. University Avenue • Laramie, WY 82071</w:t>
            </w:r>
          </w:p>
          <w:p w14:paraId="13B5F682" w14:textId="2FEB99A3" w:rsidR="000A631D" w:rsidRPr="00530294" w:rsidRDefault="000A631D">
            <w:pPr>
              <w:rPr>
                <w:rFonts w:ascii="Times New Roman" w:hAnsi="Times New Roman"/>
                <w:sz w:val="24"/>
                <w:szCs w:val="24"/>
              </w:rPr>
            </w:pPr>
            <w:r w:rsidRPr="00530294">
              <w:rPr>
                <w:rFonts w:ascii="Futura Lt BT" w:hAnsi="Futura Lt BT"/>
                <w:sz w:val="18"/>
                <w:szCs w:val="18"/>
              </w:rPr>
              <w:t>(307) 766-41</w:t>
            </w:r>
            <w:r>
              <w:rPr>
                <w:rFonts w:ascii="Futura Lt BT" w:hAnsi="Futura Lt BT"/>
                <w:sz w:val="18"/>
                <w:szCs w:val="18"/>
              </w:rPr>
              <w:t>33</w:t>
            </w:r>
            <w:r w:rsidRPr="00530294">
              <w:rPr>
                <w:rFonts w:ascii="Futura Lt BT" w:hAnsi="Futura Lt BT"/>
                <w:sz w:val="18"/>
                <w:szCs w:val="18"/>
              </w:rPr>
              <w:t xml:space="preserve"> • www.uwyo.edu/</w:t>
            </w:r>
            <w:r>
              <w:rPr>
                <w:rFonts w:ascii="Futura Lt BT" w:hAnsi="Futura Lt BT"/>
                <w:sz w:val="18"/>
                <w:szCs w:val="18"/>
              </w:rPr>
              <w:t>uwag</w:t>
            </w:r>
          </w:p>
        </w:tc>
      </w:tr>
    </w:tbl>
    <w:p w14:paraId="0D25D98C" w14:textId="77777777" w:rsidR="000A631D" w:rsidRDefault="000A631D" w:rsidP="00342C39">
      <w:pPr>
        <w:spacing w:after="120" w:line="240" w:lineRule="auto"/>
        <w:jc w:val="center"/>
        <w:rPr>
          <w:b/>
          <w:bCs/>
        </w:rPr>
      </w:pPr>
    </w:p>
    <w:p w14:paraId="4C5B2990" w14:textId="48068579" w:rsidR="00754121" w:rsidRDefault="00697FAA" w:rsidP="00342C39">
      <w:pPr>
        <w:spacing w:after="120" w:line="240" w:lineRule="auto"/>
        <w:jc w:val="center"/>
        <w:rPr>
          <w:b/>
          <w:bCs/>
        </w:rPr>
      </w:pPr>
      <w:bookmarkStart w:id="0" w:name="_Hlk200627599"/>
      <w:r>
        <w:rPr>
          <w:b/>
          <w:bCs/>
        </w:rPr>
        <w:t xml:space="preserve">Undergraduate </w:t>
      </w:r>
      <w:r w:rsidR="0006728B">
        <w:rPr>
          <w:b/>
          <w:bCs/>
        </w:rPr>
        <w:t>Student Funding Request Process</w:t>
      </w:r>
    </w:p>
    <w:p w14:paraId="6F9825DA" w14:textId="5ED6E39D" w:rsidR="0006728B" w:rsidRDefault="00AC6EFC" w:rsidP="00DF2700">
      <w:pPr>
        <w:tabs>
          <w:tab w:val="left" w:pos="6960"/>
        </w:tabs>
        <w:spacing w:after="120" w:line="240" w:lineRule="auto"/>
        <w:rPr>
          <w:b/>
          <w:bCs/>
        </w:rPr>
      </w:pPr>
      <w:r>
        <w:rPr>
          <w:b/>
          <w:bCs/>
        </w:rPr>
        <w:tab/>
      </w:r>
    </w:p>
    <w:p w14:paraId="4EC447D6" w14:textId="1A4C1078" w:rsidR="0006728B" w:rsidRDefault="0006728B" w:rsidP="00AC6EFC">
      <w:pPr>
        <w:spacing w:after="0" w:line="240" w:lineRule="auto"/>
      </w:pPr>
      <w:r>
        <w:t xml:space="preserve">The College of Agriculture, Life Sciences, and Natural Resources </w:t>
      </w:r>
      <w:r w:rsidR="00AC3DC3">
        <w:t xml:space="preserve">(CALSNR) </w:t>
      </w:r>
      <w:r>
        <w:t xml:space="preserve">highly values </w:t>
      </w:r>
      <w:r w:rsidR="00823FD9">
        <w:t xml:space="preserve">opportunities for </w:t>
      </w:r>
      <w:r w:rsidR="00697FAA">
        <w:t xml:space="preserve">undergraduate </w:t>
      </w:r>
      <w:r w:rsidR="00823FD9">
        <w:t>students to engage in learning</w:t>
      </w:r>
      <w:r w:rsidR="00AC3DC3">
        <w:t xml:space="preserve"> outside of the classroom</w:t>
      </w:r>
      <w:r w:rsidR="00823FD9">
        <w:t xml:space="preserve">. </w:t>
      </w:r>
      <w:r w:rsidR="00AC3DC3">
        <w:t>Experiences such as at</w:t>
      </w:r>
      <w:r w:rsidR="00823FD9">
        <w:t xml:space="preserve">tending </w:t>
      </w:r>
      <w:r w:rsidR="00AC3DC3">
        <w:t xml:space="preserve">or presenting at </w:t>
      </w:r>
      <w:r w:rsidR="00823FD9">
        <w:t>professional conferences</w:t>
      </w:r>
      <w:r w:rsidR="00342C39">
        <w:t xml:space="preserve"> or meetings</w:t>
      </w:r>
      <w:r w:rsidR="00823FD9">
        <w:t xml:space="preserve">, engaging in academic </w:t>
      </w:r>
      <w:r w:rsidR="00342C39">
        <w:t xml:space="preserve">or team </w:t>
      </w:r>
      <w:r w:rsidR="00823FD9">
        <w:t xml:space="preserve">competitions, </w:t>
      </w:r>
      <w:r w:rsidR="00342C39">
        <w:t xml:space="preserve">attending academic workshops or trainings, </w:t>
      </w:r>
      <w:r w:rsidR="00AC3DC3">
        <w:t xml:space="preserve">or hosting professional events or speakers can be profound and provide a richness to </w:t>
      </w:r>
      <w:r w:rsidR="00DF2700">
        <w:t>a</w:t>
      </w:r>
      <w:r w:rsidR="00AC3DC3">
        <w:t xml:space="preserve"> student’s academic growth.</w:t>
      </w:r>
    </w:p>
    <w:p w14:paraId="162FD153" w14:textId="77777777" w:rsidR="00AC6EFC" w:rsidRDefault="00AC6EFC" w:rsidP="00AC6EFC">
      <w:pPr>
        <w:spacing w:after="0" w:line="240" w:lineRule="auto"/>
      </w:pPr>
    </w:p>
    <w:p w14:paraId="20726D00" w14:textId="466FC105" w:rsidR="00AC3DC3" w:rsidRDefault="00AC3DC3" w:rsidP="00AC6EFC">
      <w:pPr>
        <w:spacing w:after="0" w:line="240" w:lineRule="auto"/>
      </w:pPr>
      <w:r>
        <w:t xml:space="preserve">The following document outlines the process for students to request funding through CALSNR to help support these types of experiences. </w:t>
      </w:r>
    </w:p>
    <w:p w14:paraId="0E20AD05" w14:textId="77777777" w:rsidR="00AC3DC3" w:rsidRDefault="00AC3DC3" w:rsidP="00AC6EFC">
      <w:pPr>
        <w:spacing w:after="0" w:line="240" w:lineRule="auto"/>
        <w:rPr>
          <w:u w:val="single"/>
        </w:rPr>
      </w:pPr>
    </w:p>
    <w:p w14:paraId="61150D71" w14:textId="278400D5" w:rsidR="00AC3DC3" w:rsidRDefault="00AC3DC3" w:rsidP="00AC6EFC">
      <w:pPr>
        <w:spacing w:after="0" w:line="240" w:lineRule="auto"/>
        <w:rPr>
          <w:u w:val="single"/>
        </w:rPr>
      </w:pPr>
      <w:r>
        <w:rPr>
          <w:u w:val="single"/>
        </w:rPr>
        <w:t>Eligibility</w:t>
      </w:r>
    </w:p>
    <w:p w14:paraId="72D8EEB4" w14:textId="77777777" w:rsidR="00AC6EFC" w:rsidRDefault="00AC6EFC" w:rsidP="00AC6EFC">
      <w:pPr>
        <w:spacing w:after="0" w:line="240" w:lineRule="auto"/>
      </w:pPr>
    </w:p>
    <w:p w14:paraId="48D4AD22" w14:textId="3BCF0B64" w:rsidR="00AC3DC3" w:rsidRDefault="00AC3DC3" w:rsidP="00AC6EFC">
      <w:pPr>
        <w:spacing w:after="0" w:line="240" w:lineRule="auto"/>
      </w:pPr>
      <w:r>
        <w:t>To be eligible for</w:t>
      </w:r>
      <w:r w:rsidR="00342C39">
        <w:t xml:space="preserve"> individual</w:t>
      </w:r>
      <w:r>
        <w:t xml:space="preserve"> funding, </w:t>
      </w:r>
      <w:r w:rsidR="00AC6EFC">
        <w:t>a</w:t>
      </w:r>
      <w:r w:rsidR="00697FAA">
        <w:t>n undergraduate</w:t>
      </w:r>
      <w:r w:rsidR="00AC6EFC">
        <w:t xml:space="preserve"> student</w:t>
      </w:r>
      <w:r>
        <w:t xml:space="preserve"> must be:</w:t>
      </w:r>
    </w:p>
    <w:p w14:paraId="18C65843" w14:textId="7878A28D" w:rsidR="00AC3DC3" w:rsidRDefault="00AC3DC3" w:rsidP="00AC6EFC">
      <w:pPr>
        <w:pStyle w:val="ListParagraph"/>
        <w:numPr>
          <w:ilvl w:val="0"/>
          <w:numId w:val="1"/>
        </w:numPr>
        <w:spacing w:after="0" w:line="240" w:lineRule="auto"/>
      </w:pPr>
      <w:r>
        <w:t>a declared major in the College</w:t>
      </w:r>
      <w:r w:rsidRPr="00AC3DC3">
        <w:t xml:space="preserve"> </w:t>
      </w:r>
      <w:r>
        <w:t>of Agriculture, Life Sciences, and Natural Resources</w:t>
      </w:r>
    </w:p>
    <w:p w14:paraId="41BAA7AC" w14:textId="493D1B4F" w:rsidR="00AC3DC3" w:rsidRDefault="00AC3DC3" w:rsidP="00AC6EFC">
      <w:pPr>
        <w:pStyle w:val="ListParagraph"/>
        <w:numPr>
          <w:ilvl w:val="0"/>
          <w:numId w:val="1"/>
        </w:numPr>
        <w:spacing w:after="0" w:line="240" w:lineRule="auto"/>
      </w:pPr>
      <w:r>
        <w:t>in good academic standing</w:t>
      </w:r>
    </w:p>
    <w:p w14:paraId="471756A9" w14:textId="59CDE662" w:rsidR="00342C39" w:rsidRDefault="00342C39" w:rsidP="00342C39">
      <w:pPr>
        <w:pStyle w:val="ListParagraph"/>
        <w:numPr>
          <w:ilvl w:val="0"/>
          <w:numId w:val="1"/>
        </w:numPr>
        <w:spacing w:after="0" w:line="240" w:lineRule="auto"/>
      </w:pPr>
      <w:r>
        <w:t>have other sources of funding as well (e.g., department funding, fundraising matches, personal funding)</w:t>
      </w:r>
    </w:p>
    <w:p w14:paraId="4E518469" w14:textId="77777777" w:rsidR="00AC6EFC" w:rsidRDefault="00AC6EFC" w:rsidP="00AC6EFC">
      <w:pPr>
        <w:spacing w:after="0" w:line="240" w:lineRule="auto"/>
      </w:pPr>
    </w:p>
    <w:p w14:paraId="7B056283" w14:textId="7B5CE837" w:rsidR="00AC6EFC" w:rsidRDefault="00AC6EFC" w:rsidP="00AC6EFC">
      <w:pPr>
        <w:spacing w:after="0" w:line="240" w:lineRule="auto"/>
      </w:pPr>
      <w:r>
        <w:t>To be eligible for</w:t>
      </w:r>
      <w:r w:rsidR="00342C39">
        <w:t xml:space="preserve"> group</w:t>
      </w:r>
      <w:r>
        <w:t xml:space="preserve"> funding, a</w:t>
      </w:r>
      <w:r w:rsidR="00342C39">
        <w:t xml:space="preserve"> </w:t>
      </w:r>
      <w:r>
        <w:t xml:space="preserve">student </w:t>
      </w:r>
      <w:r w:rsidR="000A631D">
        <w:t>group</w:t>
      </w:r>
      <w:r>
        <w:t xml:space="preserve"> must be:</w:t>
      </w:r>
    </w:p>
    <w:p w14:paraId="7C51AE8F" w14:textId="2FDE7D78" w:rsidR="00AC6EFC" w:rsidRDefault="00AC6EFC" w:rsidP="00AC6EFC">
      <w:pPr>
        <w:pStyle w:val="ListParagraph"/>
        <w:numPr>
          <w:ilvl w:val="0"/>
          <w:numId w:val="1"/>
        </w:numPr>
        <w:spacing w:after="0" w:line="240" w:lineRule="auto"/>
      </w:pPr>
      <w:r>
        <w:t>a CALSNR Registered Student Organization</w:t>
      </w:r>
      <w:r w:rsidR="00FA7426">
        <w:t xml:space="preserve"> (RSO)</w:t>
      </w:r>
      <w:r w:rsidR="00342C39">
        <w:t xml:space="preserve">, </w:t>
      </w:r>
      <w:r>
        <w:t>a CALSNR Team</w:t>
      </w:r>
      <w:r w:rsidR="00342C39">
        <w:t>, or a group of CALSNR students attending the same event and requesting funding together</w:t>
      </w:r>
    </w:p>
    <w:p w14:paraId="57E8EE2F" w14:textId="29314421" w:rsidR="00C7064A" w:rsidRDefault="00C7064A" w:rsidP="00AC6EF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have other sources of funding as well (e.g., </w:t>
      </w:r>
      <w:r w:rsidR="00342C39">
        <w:t xml:space="preserve">department funding, </w:t>
      </w:r>
      <w:r>
        <w:t>ASUW funding, fundraising matches)</w:t>
      </w:r>
    </w:p>
    <w:p w14:paraId="5B3B7950" w14:textId="77777777" w:rsidR="00AC6EFC" w:rsidRDefault="00AC6EFC" w:rsidP="00AC6EFC">
      <w:pPr>
        <w:spacing w:after="0" w:line="240" w:lineRule="auto"/>
      </w:pPr>
    </w:p>
    <w:p w14:paraId="26DA135E" w14:textId="28518A83" w:rsidR="00AC3DC3" w:rsidRDefault="00AC3DC3" w:rsidP="00AC6EFC">
      <w:pPr>
        <w:spacing w:after="0" w:line="240" w:lineRule="auto"/>
      </w:pPr>
      <w:r>
        <w:t>Funding may be available for:</w:t>
      </w:r>
    </w:p>
    <w:p w14:paraId="4A3CC7C7" w14:textId="1289F14F" w:rsidR="00FA7426" w:rsidRDefault="00AC3DC3" w:rsidP="00FA7426">
      <w:pPr>
        <w:pStyle w:val="ListParagraph"/>
        <w:numPr>
          <w:ilvl w:val="0"/>
          <w:numId w:val="3"/>
        </w:numPr>
        <w:spacing w:after="0" w:line="240" w:lineRule="auto"/>
      </w:pPr>
      <w:r>
        <w:t>Professional meeting or conference costs</w:t>
      </w:r>
    </w:p>
    <w:p w14:paraId="5C448974" w14:textId="28B7E341" w:rsidR="00FA7426" w:rsidRDefault="00FA7426" w:rsidP="00FA7426">
      <w:pPr>
        <w:pStyle w:val="ListParagraph"/>
        <w:numPr>
          <w:ilvl w:val="1"/>
          <w:numId w:val="3"/>
        </w:numPr>
        <w:spacing w:after="0" w:line="240" w:lineRule="auto"/>
      </w:pPr>
      <w:r>
        <w:t>Students must be accepted to attend or present at the academic or industry conference/meeting.</w:t>
      </w:r>
    </w:p>
    <w:p w14:paraId="25E7C8BB" w14:textId="3273093C" w:rsidR="00FA7426" w:rsidRDefault="00FA7426" w:rsidP="00FA7426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Students </w:t>
      </w:r>
      <w:r w:rsidR="00C7064A">
        <w:t>must have a letter of support from a faculty member</w:t>
      </w:r>
      <w:r w:rsidR="00DF2700">
        <w:t>.</w:t>
      </w:r>
    </w:p>
    <w:p w14:paraId="21121D18" w14:textId="0B3EF52D" w:rsidR="00AC3DC3" w:rsidRDefault="00AC3DC3" w:rsidP="00AC6EFC">
      <w:pPr>
        <w:pStyle w:val="ListParagraph"/>
        <w:numPr>
          <w:ilvl w:val="0"/>
          <w:numId w:val="3"/>
        </w:numPr>
        <w:spacing w:after="0" w:line="240" w:lineRule="auto"/>
      </w:pPr>
      <w:r>
        <w:t>Academic competition costs</w:t>
      </w:r>
    </w:p>
    <w:p w14:paraId="0A280824" w14:textId="7285C20E" w:rsidR="00AC6EFC" w:rsidRDefault="00AC6EFC" w:rsidP="00AC6EFC">
      <w:pPr>
        <w:pStyle w:val="ListParagraph"/>
        <w:numPr>
          <w:ilvl w:val="0"/>
          <w:numId w:val="3"/>
        </w:numPr>
        <w:spacing w:after="0" w:line="240" w:lineRule="auto"/>
      </w:pPr>
      <w:r>
        <w:t>CALSNR Team competition costs</w:t>
      </w:r>
    </w:p>
    <w:p w14:paraId="6AB8E74C" w14:textId="332A1F27" w:rsidR="00FA7426" w:rsidRDefault="00FA7426" w:rsidP="00AC6EFC">
      <w:pPr>
        <w:pStyle w:val="ListParagraph"/>
        <w:numPr>
          <w:ilvl w:val="0"/>
          <w:numId w:val="3"/>
        </w:numPr>
        <w:spacing w:after="0" w:line="240" w:lineRule="auto"/>
      </w:pPr>
      <w:r>
        <w:t>Academic workshops/trainings approved and supported by a faculty member</w:t>
      </w:r>
    </w:p>
    <w:p w14:paraId="799BF7C1" w14:textId="4960E9E3" w:rsidR="002F233D" w:rsidRDefault="00FA7426" w:rsidP="00AC6EFC">
      <w:pPr>
        <w:pStyle w:val="ListParagraph"/>
        <w:numPr>
          <w:ilvl w:val="0"/>
          <w:numId w:val="3"/>
        </w:numPr>
        <w:spacing w:after="0" w:line="240" w:lineRule="auto"/>
      </w:pPr>
      <w:r>
        <w:t>Educational student event costs (e.g., s</w:t>
      </w:r>
      <w:r w:rsidR="00AC3DC3">
        <w:t>peaker honorariums and/or limited travel costs</w:t>
      </w:r>
      <w:r>
        <w:t>, h</w:t>
      </w:r>
      <w:r w:rsidR="00AC6EFC">
        <w:t>osting costs</w:t>
      </w:r>
      <w:r>
        <w:t>)</w:t>
      </w:r>
      <w:r w:rsidR="00AC3DC3">
        <w:t xml:space="preserve"> sponsored by a </w:t>
      </w:r>
      <w:r w:rsidR="00AC6EFC">
        <w:t>CALSNR</w:t>
      </w:r>
      <w:r>
        <w:t xml:space="preserve"> RSO</w:t>
      </w:r>
      <w:r w:rsidR="00DF2700">
        <w:t>,</w:t>
      </w:r>
      <w:r>
        <w:t xml:space="preserve"> Team</w:t>
      </w:r>
      <w:r w:rsidR="00DF2700">
        <w:t>, or student group</w:t>
      </w:r>
    </w:p>
    <w:p w14:paraId="770A2424" w14:textId="058038BE" w:rsidR="00FA7426" w:rsidRDefault="002F233D" w:rsidP="002F233D">
      <w:pPr>
        <w:pStyle w:val="ListParagraph"/>
        <w:numPr>
          <w:ilvl w:val="1"/>
          <w:numId w:val="3"/>
        </w:numPr>
        <w:spacing w:after="0" w:line="240" w:lineRule="auto"/>
      </w:pPr>
      <w:r>
        <w:t>Event</w:t>
      </w:r>
      <w:r w:rsidR="000A631D">
        <w:t>s</w:t>
      </w:r>
      <w:r>
        <w:t xml:space="preserve"> must be free</w:t>
      </w:r>
      <w:r w:rsidR="00DF2700">
        <w:t>.</w:t>
      </w:r>
    </w:p>
    <w:p w14:paraId="755BFEF0" w14:textId="2044BB8F" w:rsidR="00AC6EFC" w:rsidRDefault="00342C39" w:rsidP="00AC6EFC">
      <w:pPr>
        <w:pStyle w:val="ListParagraph"/>
        <w:numPr>
          <w:ilvl w:val="1"/>
          <w:numId w:val="3"/>
        </w:numPr>
        <w:spacing w:after="0" w:line="240" w:lineRule="auto"/>
      </w:pPr>
      <w:r>
        <w:t>Event</w:t>
      </w:r>
      <w:r w:rsidR="000A631D">
        <w:t>s</w:t>
      </w:r>
      <w:r>
        <w:t xml:space="preserve"> must be open to all CALSNR students or</w:t>
      </w:r>
      <w:r w:rsidR="000A631D">
        <w:t>, if</w:t>
      </w:r>
      <w:r w:rsidR="00DF2700">
        <w:t xml:space="preserve"> </w:t>
      </w:r>
      <w:r w:rsidR="00FA7426">
        <w:t>offered only to members of the student organization</w:t>
      </w:r>
      <w:r w:rsidR="000A631D">
        <w:t>, the</w:t>
      </w:r>
      <w:r w:rsidR="00FA7426">
        <w:t xml:space="preserve"> organization </w:t>
      </w:r>
      <w:r w:rsidR="000A631D">
        <w:t>must be</w:t>
      </w:r>
      <w:r w:rsidR="00FA7426">
        <w:t xml:space="preserve"> open to all </w:t>
      </w:r>
      <w:r w:rsidR="000A631D">
        <w:t xml:space="preserve">CALSNR </w:t>
      </w:r>
      <w:r w:rsidR="00FA7426">
        <w:t xml:space="preserve">students for membership. </w:t>
      </w:r>
    </w:p>
    <w:p w14:paraId="13CFB8A3" w14:textId="07DC2542" w:rsidR="00DF2700" w:rsidRDefault="00DF2700" w:rsidP="00AC6EFC">
      <w:pPr>
        <w:pStyle w:val="ListParagraph"/>
        <w:numPr>
          <w:ilvl w:val="1"/>
          <w:numId w:val="3"/>
        </w:numPr>
        <w:spacing w:after="0" w:line="240" w:lineRule="auto"/>
      </w:pPr>
      <w:r>
        <w:t>Event</w:t>
      </w:r>
      <w:r w:rsidR="000A631D">
        <w:t>s</w:t>
      </w:r>
      <w:r>
        <w:t xml:space="preserve"> must </w:t>
      </w:r>
      <w:proofErr w:type="gramStart"/>
      <w:r>
        <w:t>abide</w:t>
      </w:r>
      <w:proofErr w:type="gramEnd"/>
      <w:r>
        <w:t xml:space="preserve"> all UW policies and regulations. </w:t>
      </w:r>
    </w:p>
    <w:p w14:paraId="0BA3E973" w14:textId="77777777" w:rsidR="00342C39" w:rsidRDefault="00342C39" w:rsidP="00342C39">
      <w:pPr>
        <w:pStyle w:val="ListParagraph"/>
        <w:spacing w:after="0" w:line="240" w:lineRule="auto"/>
        <w:ind w:left="1440"/>
      </w:pPr>
    </w:p>
    <w:p w14:paraId="60A6DCDB" w14:textId="13A9D4F9" w:rsidR="00AC3DC3" w:rsidRDefault="00AC3DC3" w:rsidP="00AC6EFC">
      <w:pPr>
        <w:spacing w:after="0" w:line="240" w:lineRule="auto"/>
      </w:pPr>
      <w:r>
        <w:t>Funding is not available for:</w:t>
      </w:r>
    </w:p>
    <w:p w14:paraId="4BE1904A" w14:textId="1198138B" w:rsidR="002F233D" w:rsidRDefault="002F233D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Regular RSO meetings</w:t>
      </w:r>
    </w:p>
    <w:p w14:paraId="371C927F" w14:textId="4E8CF2A5" w:rsidR="002F233D" w:rsidRDefault="002F233D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RSO recognition events/celebrations</w:t>
      </w:r>
    </w:p>
    <w:p w14:paraId="57A6346B" w14:textId="23D2FF5E" w:rsidR="002F233D" w:rsidRDefault="002F233D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Food for regularly scheduled organizational meetings</w:t>
      </w:r>
    </w:p>
    <w:p w14:paraId="18A28545" w14:textId="15883016" w:rsidR="002F233D" w:rsidRDefault="002F233D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Payment to speakers/guests/third parties who do not have demonstrated expertise relevant to the event content</w:t>
      </w:r>
      <w:r w:rsidR="00DF2700">
        <w:t>.</w:t>
      </w:r>
    </w:p>
    <w:p w14:paraId="07D4C4CB" w14:textId="64045FAB" w:rsidR="002F233D" w:rsidRDefault="002F233D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Association or membership fees.</w:t>
      </w:r>
    </w:p>
    <w:p w14:paraId="6FA4F13C" w14:textId="6AA5DE96" w:rsidR="00AC3DC3" w:rsidRDefault="00AC3DC3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Charitable donations</w:t>
      </w:r>
    </w:p>
    <w:p w14:paraId="2B57A27A" w14:textId="1588480E" w:rsidR="00AC3DC3" w:rsidRDefault="00AC3DC3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Promotional apparel</w:t>
      </w:r>
    </w:p>
    <w:p w14:paraId="6245E3B4" w14:textId="2CBF2883" w:rsidR="00AC3DC3" w:rsidRDefault="00AC3DC3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Purchasing items that do not serve an educational or enrichment purpose</w:t>
      </w:r>
    </w:p>
    <w:p w14:paraId="62296BE0" w14:textId="4CB216B2" w:rsidR="00AC3DC3" w:rsidRDefault="00AC3DC3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Purchase of alcohol</w:t>
      </w:r>
    </w:p>
    <w:p w14:paraId="7234BD40" w14:textId="1B0990DF" w:rsidR="00AC3DC3" w:rsidRDefault="00AC3DC3" w:rsidP="00AC6EFC">
      <w:pPr>
        <w:pStyle w:val="ListParagraph"/>
        <w:numPr>
          <w:ilvl w:val="0"/>
          <w:numId w:val="2"/>
        </w:numPr>
        <w:spacing w:after="0" w:line="240" w:lineRule="auto"/>
      </w:pPr>
      <w:r>
        <w:t>Purchase of gifts</w:t>
      </w:r>
      <w:r w:rsidR="002F233D">
        <w:t>, gift cards, prizes, giveaways, raffles, auctions</w:t>
      </w:r>
    </w:p>
    <w:p w14:paraId="45A13D48" w14:textId="77777777" w:rsidR="00AC3DC3" w:rsidRDefault="00AC3DC3" w:rsidP="00AC6EFC">
      <w:pPr>
        <w:spacing w:after="0" w:line="240" w:lineRule="auto"/>
      </w:pPr>
    </w:p>
    <w:p w14:paraId="38E2EAE2" w14:textId="18BE8CE4" w:rsidR="00AC3DC3" w:rsidRDefault="00AC6EFC" w:rsidP="00AC6EFC">
      <w:pPr>
        <w:spacing w:after="0" w:line="240" w:lineRule="auto"/>
        <w:rPr>
          <w:u w:val="single"/>
        </w:rPr>
      </w:pPr>
      <w:r>
        <w:rPr>
          <w:u w:val="single"/>
        </w:rPr>
        <w:t>Funding Details</w:t>
      </w:r>
    </w:p>
    <w:p w14:paraId="524197CC" w14:textId="77777777" w:rsidR="00AC6EFC" w:rsidRDefault="00AC6EFC" w:rsidP="00AC6EFC">
      <w:pPr>
        <w:spacing w:after="0" w:line="240" w:lineRule="auto"/>
      </w:pPr>
    </w:p>
    <w:p w14:paraId="576B6898" w14:textId="77777777" w:rsidR="00AC6EFC" w:rsidRDefault="00AC6EFC" w:rsidP="00AC6EF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Applications for funding must be made no less than 4 weeks prior to the event. </w:t>
      </w:r>
    </w:p>
    <w:p w14:paraId="48F1CB63" w14:textId="77777777" w:rsidR="00AC6EFC" w:rsidRDefault="00AC6EFC" w:rsidP="00AC6EF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Other sources of funding should also be explored and will be considered in funding requests. </w:t>
      </w:r>
    </w:p>
    <w:p w14:paraId="4E5601B9" w14:textId="079C5A35" w:rsidR="00AC6EFC" w:rsidRDefault="00AC6EFC" w:rsidP="00AC6EF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Individuals may only submit one funding request per </w:t>
      </w:r>
      <w:r w:rsidRPr="00337AC7">
        <w:t>academic year with</w:t>
      </w:r>
      <w:r>
        <w:t xml:space="preserve"> a maximum of </w:t>
      </w:r>
      <w:r w:rsidR="00337AC7">
        <w:t>$500</w:t>
      </w:r>
      <w:r>
        <w:t xml:space="preserve"> total funds allocated. </w:t>
      </w:r>
    </w:p>
    <w:p w14:paraId="6DCE269F" w14:textId="7E3A04B9" w:rsidR="00AC6EFC" w:rsidRDefault="00AC6EFC" w:rsidP="00AC6EF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CALSNR Registered Student Organizations or CALSNR Teams may only submit one funding request per academic </w:t>
      </w:r>
      <w:r w:rsidR="00337AC7" w:rsidRPr="00337AC7">
        <w:t xml:space="preserve">year </w:t>
      </w:r>
      <w:r>
        <w:t xml:space="preserve">with a maximum of </w:t>
      </w:r>
      <w:r w:rsidR="00337AC7">
        <w:t xml:space="preserve">$2000 </w:t>
      </w:r>
      <w:r>
        <w:t>total funds allocated.</w:t>
      </w:r>
    </w:p>
    <w:p w14:paraId="307841CB" w14:textId="53C94684" w:rsidR="00AC6EFC" w:rsidRDefault="00AC6EFC" w:rsidP="00AC6EFC">
      <w:pPr>
        <w:pStyle w:val="ListParagraph"/>
        <w:numPr>
          <w:ilvl w:val="0"/>
          <w:numId w:val="4"/>
        </w:numPr>
        <w:spacing w:after="0" w:line="240" w:lineRule="auto"/>
      </w:pPr>
      <w:r>
        <w:t>Funding applications are available on the CALSNR website and must be submitted electronically.</w:t>
      </w:r>
    </w:p>
    <w:p w14:paraId="4BA0DC7B" w14:textId="77777777" w:rsidR="000A631D" w:rsidRDefault="00FA7426" w:rsidP="00FA7426">
      <w:pPr>
        <w:pStyle w:val="ListParagraph"/>
        <w:numPr>
          <w:ilvl w:val="0"/>
          <w:numId w:val="4"/>
        </w:numPr>
        <w:spacing w:after="0" w:line="240" w:lineRule="auto"/>
      </w:pPr>
      <w:r w:rsidRPr="00FA7426">
        <w:t xml:space="preserve">Funding for requests is not guaranteed even if meeting the eligibility criteria. </w:t>
      </w:r>
    </w:p>
    <w:p w14:paraId="72B8276C" w14:textId="78D983C4" w:rsidR="00AC6EFC" w:rsidRDefault="00FA7426" w:rsidP="00FA7426">
      <w:pPr>
        <w:pStyle w:val="ListParagraph"/>
        <w:numPr>
          <w:ilvl w:val="0"/>
          <w:numId w:val="4"/>
        </w:numPr>
        <w:spacing w:after="0" w:line="240" w:lineRule="auto"/>
      </w:pPr>
      <w:r w:rsidRPr="00FA7426">
        <w:t>Portions of funding requests may be allocated while other portions are denied based on funding availability.</w:t>
      </w:r>
    </w:p>
    <w:p w14:paraId="6361A468" w14:textId="75373246" w:rsidR="00FA7426" w:rsidRDefault="00FA7426" w:rsidP="00FA742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Funds will not be </w:t>
      </w:r>
      <w:proofErr w:type="gramStart"/>
      <w:r>
        <w:t>awarded</w:t>
      </w:r>
      <w:proofErr w:type="gramEnd"/>
      <w:r>
        <w:t xml:space="preserve"> retroactively</w:t>
      </w:r>
      <w:r w:rsidR="000A631D">
        <w:t>.</w:t>
      </w:r>
    </w:p>
    <w:p w14:paraId="6A63C8D0" w14:textId="77777777" w:rsidR="00AC6EFC" w:rsidRDefault="00AC6EFC" w:rsidP="00AC6EFC">
      <w:pPr>
        <w:spacing w:after="0" w:line="240" w:lineRule="auto"/>
      </w:pPr>
    </w:p>
    <w:p w14:paraId="0D23A337" w14:textId="0C58F662" w:rsidR="002F233D" w:rsidRDefault="002F233D" w:rsidP="00AC6EFC">
      <w:pPr>
        <w:spacing w:after="0" w:line="240" w:lineRule="auto"/>
      </w:pPr>
    </w:p>
    <w:bookmarkEnd w:id="0"/>
    <w:p w14:paraId="36F3F984" w14:textId="7A5E2731" w:rsidR="00C7064A" w:rsidRDefault="00337AC7" w:rsidP="00FD2614">
      <w:r>
        <w:t xml:space="preserve">Submit your funding application </w:t>
      </w:r>
      <w:hyperlink r:id="rId7" w:history="1">
        <w:r w:rsidRPr="00337AC7">
          <w:rPr>
            <w:rStyle w:val="Hyperlink"/>
            <w:b/>
            <w:bCs/>
            <w:sz w:val="24"/>
            <w:szCs w:val="24"/>
          </w:rPr>
          <w:t>here</w:t>
        </w:r>
      </w:hyperlink>
      <w:r w:rsidRPr="00337AC7">
        <w:rPr>
          <w:b/>
          <w:bCs/>
          <w:sz w:val="24"/>
          <w:szCs w:val="24"/>
        </w:rPr>
        <w:t>.</w:t>
      </w:r>
      <w:r>
        <w:t xml:space="preserve"> </w:t>
      </w:r>
    </w:p>
    <w:sectPr w:rsidR="00C7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87E"/>
    <w:multiLevelType w:val="hybridMultilevel"/>
    <w:tmpl w:val="6A60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279"/>
    <w:multiLevelType w:val="hybridMultilevel"/>
    <w:tmpl w:val="6A60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5035B"/>
    <w:multiLevelType w:val="hybridMultilevel"/>
    <w:tmpl w:val="EFA0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40FD"/>
    <w:multiLevelType w:val="hybridMultilevel"/>
    <w:tmpl w:val="6A60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2947"/>
    <w:multiLevelType w:val="hybridMultilevel"/>
    <w:tmpl w:val="6A60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907C4"/>
    <w:multiLevelType w:val="hybridMultilevel"/>
    <w:tmpl w:val="6A60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10A5C"/>
    <w:multiLevelType w:val="hybridMultilevel"/>
    <w:tmpl w:val="69D0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0E1E"/>
    <w:multiLevelType w:val="hybridMultilevel"/>
    <w:tmpl w:val="6A60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E4601"/>
    <w:multiLevelType w:val="hybridMultilevel"/>
    <w:tmpl w:val="6A60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F13E3"/>
    <w:multiLevelType w:val="hybridMultilevel"/>
    <w:tmpl w:val="4D10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B1A9B"/>
    <w:multiLevelType w:val="hybridMultilevel"/>
    <w:tmpl w:val="DA20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077E5"/>
    <w:multiLevelType w:val="hybridMultilevel"/>
    <w:tmpl w:val="6A60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8474">
    <w:abstractNumId w:val="10"/>
  </w:num>
  <w:num w:numId="2" w16cid:durableId="1667856198">
    <w:abstractNumId w:val="2"/>
  </w:num>
  <w:num w:numId="3" w16cid:durableId="1409841081">
    <w:abstractNumId w:val="9"/>
  </w:num>
  <w:num w:numId="4" w16cid:durableId="140198030">
    <w:abstractNumId w:val="6"/>
  </w:num>
  <w:num w:numId="5" w16cid:durableId="1803041649">
    <w:abstractNumId w:val="0"/>
  </w:num>
  <w:num w:numId="6" w16cid:durableId="269897863">
    <w:abstractNumId w:val="5"/>
  </w:num>
  <w:num w:numId="7" w16cid:durableId="1128084646">
    <w:abstractNumId w:val="7"/>
  </w:num>
  <w:num w:numId="8" w16cid:durableId="1437405589">
    <w:abstractNumId w:val="1"/>
  </w:num>
  <w:num w:numId="9" w16cid:durableId="1287348445">
    <w:abstractNumId w:val="4"/>
  </w:num>
  <w:num w:numId="10" w16cid:durableId="2002005105">
    <w:abstractNumId w:val="3"/>
  </w:num>
  <w:num w:numId="11" w16cid:durableId="1402099239">
    <w:abstractNumId w:val="8"/>
  </w:num>
  <w:num w:numId="12" w16cid:durableId="1543246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B"/>
    <w:rsid w:val="00056D51"/>
    <w:rsid w:val="0006728B"/>
    <w:rsid w:val="000A631D"/>
    <w:rsid w:val="000B281A"/>
    <w:rsid w:val="001209AA"/>
    <w:rsid w:val="002F233D"/>
    <w:rsid w:val="00337AC7"/>
    <w:rsid w:val="00342C39"/>
    <w:rsid w:val="004B6219"/>
    <w:rsid w:val="00697FAA"/>
    <w:rsid w:val="00754121"/>
    <w:rsid w:val="00823FD9"/>
    <w:rsid w:val="00912EB6"/>
    <w:rsid w:val="00953EBE"/>
    <w:rsid w:val="00AC3DC3"/>
    <w:rsid w:val="00AC6EFC"/>
    <w:rsid w:val="00BF7FCC"/>
    <w:rsid w:val="00C7064A"/>
    <w:rsid w:val="00CE1216"/>
    <w:rsid w:val="00DF2700"/>
    <w:rsid w:val="00EB4EF8"/>
    <w:rsid w:val="00FA7426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6F0D"/>
  <w15:chartTrackingRefBased/>
  <w15:docId w15:val="{0AE07BFF-A141-40D0-AEF7-D200FE6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address"/>
    <w:basedOn w:val="Normal"/>
    <w:link w:val="BodyTextChar"/>
    <w:rsid w:val="000A631D"/>
    <w:pPr>
      <w:spacing w:after="0" w:line="240" w:lineRule="auto"/>
    </w:pPr>
    <w:rPr>
      <w:rFonts w:ascii="Futura Lt BT" w:eastAsia="Times" w:hAnsi="Futura Lt BT" w:cs="Times New Roman"/>
      <w:color w:val="000000"/>
      <w:sz w:val="20"/>
      <w:szCs w:val="20"/>
    </w:rPr>
  </w:style>
  <w:style w:type="character" w:customStyle="1" w:styleId="BodyTextChar">
    <w:name w:val="Body Text Char"/>
    <w:aliases w:val="address Char"/>
    <w:basedOn w:val="DefaultParagraphFont"/>
    <w:link w:val="BodyText"/>
    <w:rsid w:val="000A631D"/>
    <w:rPr>
      <w:rFonts w:ascii="Futura Lt BT" w:eastAsia="Times" w:hAnsi="Futura Lt BT" w:cs="Times New Roman"/>
      <w:color w:val="000000"/>
      <w:sz w:val="20"/>
      <w:szCs w:val="20"/>
    </w:rPr>
  </w:style>
  <w:style w:type="paragraph" w:customStyle="1" w:styleId="Lettertype">
    <w:name w:val="Lettertype"/>
    <w:basedOn w:val="BodyText"/>
    <w:rsid w:val="000A631D"/>
    <w:pPr>
      <w:spacing w:after="180"/>
    </w:pPr>
  </w:style>
  <w:style w:type="character" w:styleId="Hyperlink">
    <w:name w:val="Hyperlink"/>
    <w:basedOn w:val="DefaultParagraphFont"/>
    <w:uiPriority w:val="99"/>
    <w:unhideWhenUsed/>
    <w:rsid w:val="00337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wyo.sjc1.qualtrics.com/jfe/form/SV_7Us6ZUKZZ8hUyZ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F3A1-5F42-4331-AF9C-E9E3B076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Elizabeth Wade</dc:creator>
  <cp:keywords/>
  <dc:description/>
  <cp:lastModifiedBy>Christine Elizabeth Wade</cp:lastModifiedBy>
  <cp:revision>5</cp:revision>
  <dcterms:created xsi:type="dcterms:W3CDTF">2025-09-17T19:53:00Z</dcterms:created>
  <dcterms:modified xsi:type="dcterms:W3CDTF">2025-10-17T15:10:00Z</dcterms:modified>
</cp:coreProperties>
</file>