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66" w:rsidRPr="00B20388" w:rsidRDefault="00DC42A3" w:rsidP="00DC42A3">
      <w:pPr>
        <w:jc w:val="center"/>
        <w:rPr>
          <w:rFonts w:ascii="Calibri" w:hAnsi="Calibri"/>
          <w:sz w:val="24"/>
          <w:szCs w:val="24"/>
        </w:rPr>
      </w:pPr>
      <w:r w:rsidRPr="00B20388">
        <w:rPr>
          <w:rFonts w:ascii="Calibri" w:hAnsi="Calibri"/>
          <w:sz w:val="24"/>
          <w:szCs w:val="24"/>
        </w:rPr>
        <w:t>University of Wyoming</w:t>
      </w:r>
    </w:p>
    <w:p w:rsidR="00DC42A3" w:rsidRPr="00B20388" w:rsidRDefault="00DC42A3" w:rsidP="00DC42A3">
      <w:pPr>
        <w:jc w:val="center"/>
        <w:rPr>
          <w:rFonts w:ascii="Calibri" w:hAnsi="Calibri"/>
          <w:b/>
          <w:sz w:val="24"/>
          <w:szCs w:val="24"/>
        </w:rPr>
      </w:pPr>
      <w:r w:rsidRPr="00B20388">
        <w:rPr>
          <w:rFonts w:ascii="Calibri" w:hAnsi="Calibri"/>
          <w:b/>
          <w:sz w:val="24"/>
          <w:szCs w:val="24"/>
        </w:rPr>
        <w:t>Crime Statistics Report Form</w:t>
      </w:r>
    </w:p>
    <w:p w:rsidR="00DC42A3" w:rsidRPr="00E6076E" w:rsidRDefault="00DC42A3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  <w:r w:rsidRPr="00E6076E">
        <w:rPr>
          <w:rStyle w:val="Emphasis"/>
          <w:color w:val="FF0000"/>
        </w:rPr>
        <w:t>Reporting Person:</w:t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  <w:t>Phone:</w:t>
      </w:r>
    </w:p>
    <w:p w:rsidR="00DC42A3" w:rsidRPr="00E6076E" w:rsidRDefault="00DC42A3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  <w:r w:rsidRPr="00E6076E">
        <w:rPr>
          <w:rStyle w:val="Emphasis"/>
          <w:color w:val="FF0000"/>
        </w:rPr>
        <w:t>Classification (see below):</w:t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</w:r>
      <w:r w:rsidRPr="00E6076E">
        <w:rPr>
          <w:rStyle w:val="Emphasis"/>
          <w:color w:val="FF0000"/>
        </w:rPr>
        <w:tab/>
        <w:t>Date:</w:t>
      </w:r>
    </w:p>
    <w:p w:rsidR="00DC42A3" w:rsidRPr="00E6076E" w:rsidRDefault="00DC42A3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  <w:r w:rsidRPr="00E6076E">
        <w:rPr>
          <w:rStyle w:val="Emphasis"/>
          <w:color w:val="FF0000"/>
        </w:rPr>
        <w:t>Location of Incident (building name/address):</w:t>
      </w:r>
    </w:p>
    <w:p w:rsidR="00DC42A3" w:rsidRPr="00E6076E" w:rsidRDefault="00DC42A3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  <w:r w:rsidRPr="00E6076E">
        <w:rPr>
          <w:rStyle w:val="Emphasis"/>
          <w:color w:val="FF0000"/>
        </w:rPr>
        <w:t>Brief Description of Incident:</w:t>
      </w:r>
    </w:p>
    <w:p w:rsidR="00DC42A3" w:rsidRPr="00E6076E" w:rsidRDefault="00DC42A3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</w:p>
    <w:p w:rsidR="00DC42A3" w:rsidRPr="00E6076E" w:rsidRDefault="00DC42A3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</w:p>
    <w:p w:rsidR="00325502" w:rsidRPr="00E6076E" w:rsidRDefault="00325502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</w:p>
    <w:p w:rsidR="00325502" w:rsidRPr="00E6076E" w:rsidRDefault="00325502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  <w:bookmarkStart w:id="0" w:name="_GoBack"/>
      <w:bookmarkEnd w:id="0"/>
    </w:p>
    <w:p w:rsidR="00DC42A3" w:rsidRPr="00E6076E" w:rsidRDefault="00DC42A3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  <w:r w:rsidRPr="00E6076E">
        <w:rPr>
          <w:rStyle w:val="Emphasis"/>
          <w:color w:val="FF0000"/>
        </w:rPr>
        <w:t>Di</w:t>
      </w:r>
      <w:r w:rsidR="00E6076E">
        <w:rPr>
          <w:rStyle w:val="Emphasis"/>
          <w:color w:val="FF0000"/>
        </w:rPr>
        <w:t>d the crime occur in a building, on the sidewalk/green space</w:t>
      </w:r>
      <w:r w:rsidR="00504DDC">
        <w:rPr>
          <w:rStyle w:val="Emphasis"/>
          <w:color w:val="FF0000"/>
        </w:rPr>
        <w:t>, electronically,</w:t>
      </w:r>
      <w:r w:rsidR="00E6076E">
        <w:rPr>
          <w:rStyle w:val="Emphasis"/>
          <w:color w:val="FF0000"/>
        </w:rPr>
        <w:t xml:space="preserve"> or on a </w:t>
      </w:r>
      <w:r w:rsidRPr="00E6076E">
        <w:rPr>
          <w:rStyle w:val="Emphasis"/>
          <w:color w:val="FF0000"/>
        </w:rPr>
        <w:t xml:space="preserve">street?   </w:t>
      </w:r>
    </w:p>
    <w:p w:rsidR="00DC42A3" w:rsidRPr="00E6076E" w:rsidRDefault="00DC42A3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color w:val="FF0000"/>
        </w:rPr>
      </w:pPr>
      <w:r w:rsidRPr="00E6076E">
        <w:rPr>
          <w:rStyle w:val="Emphasis"/>
          <w:color w:val="FF0000"/>
        </w:rPr>
        <w:t>Did the crime occur on university owned, controlled or leased property?  YES     NO</w:t>
      </w:r>
    </w:p>
    <w:p w:rsidR="00DC42A3" w:rsidRPr="00E6076E" w:rsidRDefault="00DC42A3" w:rsidP="00B203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color w:val="FF0000"/>
          <w:sz w:val="24"/>
          <w:szCs w:val="24"/>
        </w:rPr>
      </w:pPr>
      <w:r w:rsidRPr="00E6076E">
        <w:rPr>
          <w:rStyle w:val="Emphasis"/>
          <w:color w:val="FF0000"/>
        </w:rPr>
        <w:t>Did the crime occur at a university sponsored activity or event?    YES    NO</w:t>
      </w:r>
    </w:p>
    <w:p w:rsidR="00D21703" w:rsidRDefault="00325502" w:rsidP="00D21703">
      <w:pPr>
        <w:rPr>
          <w:sz w:val="19"/>
          <w:szCs w:val="19"/>
        </w:rPr>
      </w:pPr>
      <w:r w:rsidRPr="00B20388">
        <w:rPr>
          <w:b/>
          <w:bCs/>
        </w:rPr>
        <w:t>Crime definitio</w:t>
      </w:r>
      <w:r w:rsidR="00B20388">
        <w:rPr>
          <w:b/>
          <w:bCs/>
        </w:rPr>
        <w:t>ns</w:t>
      </w:r>
      <w:proofErr w:type="gramStart"/>
      <w:r w:rsidRPr="00B20388">
        <w:rPr>
          <w:b/>
          <w:bCs/>
        </w:rPr>
        <w:t>:</w:t>
      </w:r>
      <w:proofErr w:type="gramEnd"/>
      <w:r w:rsidRPr="00B20388">
        <w:rPr>
          <w:rFonts w:cs="Arial"/>
        </w:rPr>
        <w:br/>
      </w:r>
      <w:r w:rsidRPr="00B20388">
        <w:rPr>
          <w:rFonts w:cs="Arial"/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t>Aggravated Assault</w:t>
      </w:r>
      <w:r w:rsidRPr="00B20388">
        <w:rPr>
          <w:sz w:val="19"/>
          <w:szCs w:val="19"/>
        </w:rPr>
        <w:t>: an unlawful attack by one person upon another for the purpose of inflicting severe or aggravated bodily injury. This type of assault usually is accompanied by the use of a weapon or by means likely to produce death or great bodily harm. It is not necessary that injury result from an aggravated assault when a gun, knife, or other weapon is used which could or probably would result in a serious potential injury if the crime were successfully completed.</w:t>
      </w:r>
      <w:r w:rsidRPr="00B20388">
        <w:rPr>
          <w:sz w:val="19"/>
          <w:szCs w:val="19"/>
        </w:rPr>
        <w:br/>
      </w:r>
      <w:r w:rsidRPr="00B20388">
        <w:rPr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t>Arson</w:t>
      </w:r>
      <w:r w:rsidRPr="00B20388">
        <w:rPr>
          <w:sz w:val="19"/>
          <w:szCs w:val="19"/>
        </w:rPr>
        <w:t>: Any willful or malicious burning or attempt to burn, with or without intent to defraud, a dwelling, house, public building, motor vehicle or aircraft, personal property, etc.</w:t>
      </w:r>
      <w:r w:rsidRPr="00B20388">
        <w:rPr>
          <w:sz w:val="19"/>
          <w:szCs w:val="19"/>
        </w:rPr>
        <w:br/>
      </w:r>
      <w:r w:rsidRPr="00B20388">
        <w:rPr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t>Burglary</w:t>
      </w:r>
      <w:r w:rsidRPr="00B20388">
        <w:rPr>
          <w:sz w:val="19"/>
          <w:szCs w:val="19"/>
        </w:rPr>
        <w:t>: The unlawful entry of a structure to commit a felony or a theft. For reporting purposes this definition includes: unlawful entry with intent to commit a larceny or a felony; breaking and entering with intent to commit a larceny; housebreaking; safecracking; and all attempts to commit any of the aforementioned.</w:t>
      </w:r>
      <w:r w:rsidRPr="00B20388">
        <w:rPr>
          <w:sz w:val="19"/>
          <w:szCs w:val="19"/>
        </w:rPr>
        <w:br/>
      </w:r>
      <w:r w:rsidRPr="00B20388">
        <w:rPr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t>Motor Vehicle Theft</w:t>
      </w:r>
      <w:r w:rsidRPr="00B20388">
        <w:rPr>
          <w:sz w:val="19"/>
          <w:szCs w:val="19"/>
        </w:rPr>
        <w:t>: The theft or attempted theft of a motor vehicle. (Classify as motor vehicle theft all cases where automobiles are taken by persons not having lawful access even though the vehicles are later abandoned-including joy riding).</w:t>
      </w:r>
      <w:r w:rsidRPr="00B20388">
        <w:rPr>
          <w:sz w:val="19"/>
          <w:szCs w:val="19"/>
        </w:rPr>
        <w:br/>
      </w:r>
      <w:r w:rsidRPr="00B20388">
        <w:rPr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t>Murder and Non-negligent Manslaughter</w:t>
      </w:r>
      <w:r w:rsidRPr="00B20388">
        <w:rPr>
          <w:sz w:val="19"/>
          <w:szCs w:val="19"/>
        </w:rPr>
        <w:t>: The willful (non-negligent) killing of one human being by another.</w:t>
      </w:r>
      <w:r w:rsidRPr="00B20388">
        <w:rPr>
          <w:sz w:val="19"/>
          <w:szCs w:val="19"/>
        </w:rPr>
        <w:br/>
      </w:r>
      <w:r w:rsidRPr="00B20388">
        <w:rPr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t>Manslaughter by Negligence</w:t>
      </w:r>
      <w:r w:rsidRPr="00B20388">
        <w:rPr>
          <w:sz w:val="19"/>
          <w:szCs w:val="19"/>
        </w:rPr>
        <w:t>: The killing of another person through gross negligence.</w:t>
      </w:r>
      <w:r w:rsidRPr="00B20388">
        <w:rPr>
          <w:sz w:val="19"/>
          <w:szCs w:val="19"/>
        </w:rPr>
        <w:br/>
      </w:r>
      <w:r w:rsidRPr="00B20388">
        <w:rPr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lastRenderedPageBreak/>
        <w:t>Robbery</w:t>
      </w:r>
      <w:r w:rsidRPr="00B20388">
        <w:rPr>
          <w:sz w:val="19"/>
          <w:szCs w:val="19"/>
        </w:rPr>
        <w:t>: The taking or attempting to take anything of value from the care, custody, or control of a person or persons by force or threat of force, violence, and/or causing the victim fear.</w:t>
      </w:r>
    </w:p>
    <w:p w:rsidR="00B20388" w:rsidRPr="00D21703" w:rsidRDefault="00325502" w:rsidP="00325502">
      <w:pPr>
        <w:rPr>
          <w:sz w:val="19"/>
          <w:szCs w:val="19"/>
        </w:rPr>
      </w:pPr>
      <w:r w:rsidRPr="00B20388">
        <w:rPr>
          <w:sz w:val="19"/>
          <w:szCs w:val="19"/>
        </w:rPr>
        <w:br/>
      </w:r>
      <w:r w:rsidR="00B20388" w:rsidRPr="00B20388">
        <w:rPr>
          <w:rFonts w:cs="Arial"/>
          <w:b/>
          <w:sz w:val="19"/>
          <w:szCs w:val="19"/>
        </w:rPr>
        <w:t>Stalking:</w:t>
      </w:r>
      <w:r w:rsidR="00B20388" w:rsidRPr="00B20388">
        <w:rPr>
          <w:rFonts w:cs="Arial"/>
          <w:sz w:val="19"/>
          <w:szCs w:val="19"/>
        </w:rPr>
        <w:t xml:space="preserve">  </w:t>
      </w:r>
      <w:r w:rsidR="00D21703">
        <w:rPr>
          <w:rFonts w:cs="Arial"/>
          <w:sz w:val="19"/>
          <w:szCs w:val="19"/>
        </w:rPr>
        <w:t xml:space="preserve">A </w:t>
      </w:r>
      <w:r w:rsidR="00D21703" w:rsidRPr="00D21703">
        <w:rPr>
          <w:rFonts w:cs="Arial"/>
          <w:sz w:val="19"/>
          <w:szCs w:val="19"/>
        </w:rPr>
        <w:t>person commits the crime of stalking if, with intent to harass another person, the person engages in a course of conduct reasonably likely to harass that person, including but not limited to any combination of the followi</w:t>
      </w:r>
      <w:r w:rsidR="00D21703">
        <w:rPr>
          <w:rFonts w:cs="Arial"/>
          <w:sz w:val="19"/>
          <w:szCs w:val="19"/>
        </w:rPr>
        <w:t xml:space="preserve">ng: </w:t>
      </w:r>
      <w:r w:rsidR="00D21703" w:rsidRPr="00D21703">
        <w:rPr>
          <w:rFonts w:cs="Arial"/>
          <w:sz w:val="19"/>
          <w:szCs w:val="19"/>
        </w:rPr>
        <w:t xml:space="preserve"> Communicating, anonymously or otherwise, or causing a communication with another person by verbal, electronic, mechanical, telegraphic, telephonic or written me</w:t>
      </w:r>
      <w:r w:rsidR="00D21703">
        <w:rPr>
          <w:rFonts w:cs="Arial"/>
          <w:sz w:val="19"/>
          <w:szCs w:val="19"/>
        </w:rPr>
        <w:t>ans in a manner that harasses; f</w:t>
      </w:r>
      <w:r w:rsidR="00D21703" w:rsidRPr="00D21703">
        <w:rPr>
          <w:rFonts w:cs="Arial"/>
          <w:sz w:val="19"/>
          <w:szCs w:val="19"/>
        </w:rPr>
        <w:t>ollowing a person, other than within t</w:t>
      </w:r>
      <w:r w:rsidR="00D21703">
        <w:rPr>
          <w:rFonts w:cs="Arial"/>
          <w:sz w:val="19"/>
          <w:szCs w:val="19"/>
        </w:rPr>
        <w:t>he residence of the defendant; p</w:t>
      </w:r>
      <w:r w:rsidR="00D21703" w:rsidRPr="00D21703">
        <w:rPr>
          <w:rFonts w:cs="Arial"/>
          <w:sz w:val="19"/>
          <w:szCs w:val="19"/>
        </w:rPr>
        <w:t xml:space="preserve">lacing a person under surveillance by remaining present outside his or her school, place of employment, vehicle, other place occupied by the person, or residence other than the </w:t>
      </w:r>
      <w:r w:rsidR="00D21703">
        <w:rPr>
          <w:rFonts w:cs="Arial"/>
          <w:sz w:val="19"/>
          <w:szCs w:val="19"/>
        </w:rPr>
        <w:t>residence of the defendant; or o</w:t>
      </w:r>
      <w:r w:rsidR="00D21703" w:rsidRPr="00D21703">
        <w:rPr>
          <w:rFonts w:cs="Arial"/>
          <w:sz w:val="19"/>
          <w:szCs w:val="19"/>
        </w:rPr>
        <w:t xml:space="preserve">therwise engaging in a course of conduct that harasses another person. </w:t>
      </w:r>
    </w:p>
    <w:p w:rsidR="00E6076E" w:rsidRDefault="00B20388" w:rsidP="00325502">
      <w:pPr>
        <w:rPr>
          <w:rFonts w:cs="Arial"/>
          <w:sz w:val="19"/>
          <w:szCs w:val="19"/>
        </w:rPr>
      </w:pPr>
      <w:r w:rsidRPr="00B20388">
        <w:rPr>
          <w:rFonts w:cs="Arial"/>
          <w:b/>
          <w:sz w:val="19"/>
          <w:szCs w:val="19"/>
        </w:rPr>
        <w:t>Domestic Violence/Dating Violence:</w:t>
      </w:r>
      <w:r w:rsidR="00D21703">
        <w:rPr>
          <w:rFonts w:cs="Arial"/>
          <w:sz w:val="19"/>
          <w:szCs w:val="19"/>
        </w:rPr>
        <w:t xml:space="preserve">  Domestic assault</w:t>
      </w:r>
      <w:r w:rsidR="00E6076E">
        <w:rPr>
          <w:rFonts w:cs="Arial"/>
          <w:sz w:val="19"/>
          <w:szCs w:val="19"/>
        </w:rPr>
        <w:t xml:space="preserve">-is defined as: </w:t>
      </w:r>
      <w:r w:rsidR="00D21703" w:rsidRPr="00D21703">
        <w:rPr>
          <w:rFonts w:cs="Arial"/>
          <w:sz w:val="19"/>
          <w:szCs w:val="19"/>
        </w:rPr>
        <w:t>having the present ability to do so, he</w:t>
      </w:r>
      <w:r w:rsidR="00D21703">
        <w:rPr>
          <w:rFonts w:cs="Arial"/>
          <w:sz w:val="19"/>
          <w:szCs w:val="19"/>
        </w:rPr>
        <w:t xml:space="preserve"> or she</w:t>
      </w:r>
      <w:r w:rsidR="00D21703" w:rsidRPr="00D21703">
        <w:rPr>
          <w:rFonts w:cs="Arial"/>
          <w:sz w:val="19"/>
          <w:szCs w:val="19"/>
        </w:rPr>
        <w:t xml:space="preserve"> unlawfully attempts to cause bodily injury to another household member.</w:t>
      </w:r>
      <w:r w:rsidR="00D21703">
        <w:rPr>
          <w:rFonts w:cs="Arial"/>
          <w:sz w:val="19"/>
          <w:szCs w:val="19"/>
        </w:rPr>
        <w:t xml:space="preserve"> D</w:t>
      </w:r>
      <w:r w:rsidR="00D21703" w:rsidRPr="00D21703">
        <w:rPr>
          <w:rFonts w:cs="Arial"/>
          <w:sz w:val="19"/>
          <w:szCs w:val="19"/>
        </w:rPr>
        <w:t>omestic battery if he</w:t>
      </w:r>
      <w:r w:rsidR="00D21703">
        <w:rPr>
          <w:rFonts w:cs="Arial"/>
          <w:sz w:val="19"/>
          <w:szCs w:val="19"/>
        </w:rPr>
        <w:t xml:space="preserve"> or she</w:t>
      </w:r>
      <w:r w:rsidR="00D21703" w:rsidRPr="00D21703">
        <w:rPr>
          <w:rFonts w:cs="Arial"/>
          <w:sz w:val="19"/>
          <w:szCs w:val="19"/>
        </w:rPr>
        <w:t xml:space="preserve"> knowingly or recklessly causes bodily injury to another household member by use of physical force.</w:t>
      </w:r>
      <w:r w:rsidR="00D21703">
        <w:rPr>
          <w:rFonts w:cs="Arial"/>
          <w:sz w:val="19"/>
          <w:szCs w:val="19"/>
        </w:rPr>
        <w:t xml:space="preserve">  Household members pursuant to Wyoming Revised Statute are defined as:  p</w:t>
      </w:r>
      <w:r w:rsidR="00D21703" w:rsidRPr="00D21703">
        <w:rPr>
          <w:rFonts w:cs="Arial"/>
          <w:sz w:val="19"/>
          <w:szCs w:val="19"/>
        </w:rPr>
        <w:t xml:space="preserve">ersons who are in, or have </w:t>
      </w:r>
      <w:r w:rsidR="00D21703">
        <w:rPr>
          <w:rFonts w:cs="Arial"/>
          <w:sz w:val="19"/>
          <w:szCs w:val="19"/>
        </w:rPr>
        <w:t>been in, a dating relationship; persons married to each other; p</w:t>
      </w:r>
      <w:r w:rsidR="00D21703" w:rsidRPr="00D21703">
        <w:rPr>
          <w:rFonts w:cs="Arial"/>
          <w:sz w:val="19"/>
          <w:szCs w:val="19"/>
        </w:rPr>
        <w:t xml:space="preserve">ersons living </w:t>
      </w:r>
      <w:r w:rsidR="00D21703">
        <w:rPr>
          <w:rFonts w:cs="Arial"/>
          <w:sz w:val="19"/>
          <w:szCs w:val="19"/>
        </w:rPr>
        <w:t>with each other as if married; p</w:t>
      </w:r>
      <w:r w:rsidR="00D21703" w:rsidRPr="00D21703">
        <w:rPr>
          <w:rFonts w:cs="Arial"/>
          <w:sz w:val="19"/>
          <w:szCs w:val="19"/>
        </w:rPr>
        <w:t>ersons f</w:t>
      </w:r>
      <w:r w:rsidR="00D21703">
        <w:rPr>
          <w:rFonts w:cs="Arial"/>
          <w:sz w:val="19"/>
          <w:szCs w:val="19"/>
        </w:rPr>
        <w:t>ormerly married to each other; p</w:t>
      </w:r>
      <w:r w:rsidR="00D21703" w:rsidRPr="00D21703">
        <w:rPr>
          <w:rFonts w:cs="Arial"/>
          <w:sz w:val="19"/>
          <w:szCs w:val="19"/>
        </w:rPr>
        <w:t xml:space="preserve">ersons formerly living </w:t>
      </w:r>
      <w:r w:rsidR="00D21703">
        <w:rPr>
          <w:rFonts w:cs="Arial"/>
          <w:sz w:val="19"/>
          <w:szCs w:val="19"/>
        </w:rPr>
        <w:t>with each other as if married; p</w:t>
      </w:r>
      <w:r w:rsidR="00D21703" w:rsidRPr="00D21703">
        <w:rPr>
          <w:rFonts w:cs="Arial"/>
          <w:sz w:val="19"/>
          <w:szCs w:val="19"/>
        </w:rPr>
        <w:t>ar</w:t>
      </w:r>
      <w:r w:rsidR="00E6076E">
        <w:rPr>
          <w:rFonts w:cs="Arial"/>
          <w:sz w:val="19"/>
          <w:szCs w:val="19"/>
        </w:rPr>
        <w:t>ents and their adult children;</w:t>
      </w:r>
      <w:r w:rsidR="00D21703">
        <w:rPr>
          <w:rFonts w:cs="Arial"/>
          <w:sz w:val="19"/>
          <w:szCs w:val="19"/>
        </w:rPr>
        <w:t xml:space="preserve"> o</w:t>
      </w:r>
      <w:r w:rsidR="00D21703" w:rsidRPr="00D21703">
        <w:rPr>
          <w:rFonts w:cs="Arial"/>
          <w:sz w:val="19"/>
          <w:szCs w:val="19"/>
        </w:rPr>
        <w:t>ther adults shar</w:t>
      </w:r>
      <w:r w:rsidR="00E6076E">
        <w:rPr>
          <w:rFonts w:cs="Arial"/>
          <w:sz w:val="19"/>
          <w:szCs w:val="19"/>
        </w:rPr>
        <w:t>ing common living quarters; or</w:t>
      </w:r>
      <w:r w:rsidR="00D21703">
        <w:rPr>
          <w:rFonts w:cs="Arial"/>
          <w:sz w:val="19"/>
          <w:szCs w:val="19"/>
        </w:rPr>
        <w:t xml:space="preserve"> p</w:t>
      </w:r>
      <w:r w:rsidR="00D21703" w:rsidRPr="00D21703">
        <w:rPr>
          <w:rFonts w:cs="Arial"/>
          <w:sz w:val="19"/>
          <w:szCs w:val="19"/>
        </w:rPr>
        <w:t>ersons who are the parents of a child but who are not living with each other.</w:t>
      </w:r>
    </w:p>
    <w:p w:rsidR="00325502" w:rsidRDefault="00325502" w:rsidP="00325502">
      <w:pPr>
        <w:rPr>
          <w:rFonts w:cs="Arial"/>
          <w:sz w:val="19"/>
          <w:szCs w:val="19"/>
        </w:rPr>
      </w:pPr>
      <w:r w:rsidRPr="00B20388">
        <w:rPr>
          <w:rFonts w:cs="Arial"/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t>Weapon Law Violations</w:t>
      </w:r>
      <w:r w:rsidRPr="00B20388">
        <w:rPr>
          <w:sz w:val="19"/>
          <w:szCs w:val="19"/>
        </w:rPr>
        <w:t>: The violation of laws or ordinances dealing with weapon offenses, regulatory in nature, such as: manufacture, sale, or possession of deadly weapons; carrying deadly weapons, concealed or openly; furnishing deadly weapons to minors; aliens possessing deadly weapons; all attempts to commit any of the aforementioned.</w:t>
      </w:r>
      <w:r w:rsidRPr="00B20388">
        <w:rPr>
          <w:sz w:val="19"/>
          <w:szCs w:val="19"/>
        </w:rPr>
        <w:br/>
      </w:r>
      <w:r w:rsidRPr="00B20388">
        <w:rPr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t>Drug Abuse Violations</w:t>
      </w:r>
      <w:r w:rsidRPr="00B20388">
        <w:rPr>
          <w:sz w:val="19"/>
          <w:szCs w:val="19"/>
        </w:rPr>
        <w:t>: Violations of state and local laws relating to the unlawful possession, sale, use, growing, manufacturing, and making of narcotic drugs. The relevant substances include: opium or cocaine and their derivatives (morphine, heroin, codeine); marijuana; synthetic narcotics (</w:t>
      </w:r>
      <w:proofErr w:type="spellStart"/>
      <w:r w:rsidRPr="00B20388">
        <w:rPr>
          <w:sz w:val="19"/>
          <w:szCs w:val="19"/>
        </w:rPr>
        <w:t>demerol</w:t>
      </w:r>
      <w:proofErr w:type="spellEnd"/>
      <w:r w:rsidRPr="00B20388">
        <w:rPr>
          <w:sz w:val="19"/>
          <w:szCs w:val="19"/>
        </w:rPr>
        <w:t xml:space="preserve">, </w:t>
      </w:r>
      <w:proofErr w:type="spellStart"/>
      <w:r w:rsidRPr="00B20388">
        <w:rPr>
          <w:sz w:val="19"/>
          <w:szCs w:val="19"/>
        </w:rPr>
        <w:t>methadones</w:t>
      </w:r>
      <w:proofErr w:type="spellEnd"/>
      <w:r w:rsidRPr="00B20388">
        <w:rPr>
          <w:sz w:val="19"/>
          <w:szCs w:val="19"/>
        </w:rPr>
        <w:t xml:space="preserve">); and dangerous non-narcotic drugs (barbiturates, </w:t>
      </w:r>
      <w:proofErr w:type="spellStart"/>
      <w:r w:rsidRPr="00B20388">
        <w:rPr>
          <w:sz w:val="19"/>
          <w:szCs w:val="19"/>
        </w:rPr>
        <w:t>benzedrine</w:t>
      </w:r>
      <w:proofErr w:type="spellEnd"/>
      <w:r w:rsidRPr="00B20388">
        <w:rPr>
          <w:sz w:val="19"/>
          <w:szCs w:val="19"/>
        </w:rPr>
        <w:t xml:space="preserve">). </w:t>
      </w:r>
      <w:r w:rsidRPr="00B20388">
        <w:rPr>
          <w:sz w:val="19"/>
          <w:szCs w:val="19"/>
        </w:rPr>
        <w:br/>
      </w:r>
      <w:r w:rsidRPr="00B20388">
        <w:rPr>
          <w:sz w:val="16"/>
          <w:szCs w:val="16"/>
        </w:rPr>
        <w:br/>
      </w:r>
      <w:r w:rsidRPr="00B20388">
        <w:rPr>
          <w:b/>
          <w:bCs/>
          <w:sz w:val="19"/>
          <w:szCs w:val="19"/>
        </w:rPr>
        <w:t>Liquor Law Violations</w:t>
      </w:r>
      <w:r w:rsidRPr="00B20388">
        <w:rPr>
          <w:sz w:val="19"/>
          <w:szCs w:val="19"/>
        </w:rPr>
        <w:t xml:space="preserve">: The violation of laws or ordinance prohibiting: the manufacture, sale, transporting, furnishing, possessing of intoxicating liquor; maintaining unlawful drinking places; bootlegging; operating a still; furnishing liquor to minor or intemperate person; using a vehicle for illegal transportation of liquor; drinking on a train or public conveyance; and all attempts to commit any of the aforementioned violations.         </w:t>
      </w:r>
      <w:r w:rsidR="00B20388" w:rsidRPr="00B20388">
        <w:rPr>
          <w:sz w:val="19"/>
          <w:szCs w:val="19"/>
        </w:rPr>
        <w:t>Does not include public drunkenness or Driving under the influence.</w:t>
      </w:r>
      <w:r w:rsidRPr="00B20388">
        <w:rPr>
          <w:sz w:val="19"/>
          <w:szCs w:val="19"/>
        </w:rPr>
        <w:t xml:space="preserve">                                                                                                            </w:t>
      </w:r>
    </w:p>
    <w:p w:rsidR="00325502" w:rsidRPr="00B20388" w:rsidRDefault="00B20388" w:rsidP="00325502">
      <w:p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*For </w:t>
      </w:r>
      <w:r w:rsidRPr="00B20388">
        <w:rPr>
          <w:rFonts w:cs="Arial"/>
          <w:b/>
          <w:sz w:val="19"/>
          <w:szCs w:val="19"/>
        </w:rPr>
        <w:t>Sexual Assaults</w:t>
      </w:r>
      <w:r>
        <w:rPr>
          <w:rFonts w:cs="Arial"/>
          <w:sz w:val="19"/>
          <w:szCs w:val="19"/>
        </w:rPr>
        <w:t xml:space="preserve"> please use the Sexual Assault Report Form.</w:t>
      </w:r>
    </w:p>
    <w:p w:rsidR="00B20388" w:rsidRDefault="00E6076E" w:rsidP="00325502">
      <w:pPr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 xml:space="preserve">PLEASE FORWARD </w:t>
      </w:r>
      <w:r w:rsidR="00325502" w:rsidRPr="00B20388">
        <w:rPr>
          <w:rFonts w:cs="Arial"/>
          <w:b/>
          <w:sz w:val="19"/>
          <w:szCs w:val="19"/>
        </w:rPr>
        <w:t>THIS REPORT TO:</w:t>
      </w:r>
    </w:p>
    <w:p w:rsidR="00CD6C5B" w:rsidRPr="00B20388" w:rsidRDefault="00584408" w:rsidP="00325502">
      <w:pPr>
        <w:rPr>
          <w:rFonts w:cs="Arial"/>
          <w:b/>
          <w:sz w:val="19"/>
          <w:szCs w:val="19"/>
        </w:rPr>
      </w:pPr>
      <w:r>
        <w:rPr>
          <w:rFonts w:cs="Arial"/>
          <w:sz w:val="19"/>
          <w:szCs w:val="19"/>
        </w:rPr>
        <w:t>Josh Holland</w:t>
      </w:r>
      <w:r w:rsidR="004343A7" w:rsidRPr="00B20388">
        <w:rPr>
          <w:rFonts w:cs="Arial"/>
          <w:sz w:val="19"/>
          <w:szCs w:val="19"/>
        </w:rPr>
        <w:t>, Chief of Police</w:t>
      </w:r>
    </w:p>
    <w:p w:rsidR="00B20388" w:rsidRDefault="00325502" w:rsidP="006C2E21">
      <w:pPr>
        <w:rPr>
          <w:rFonts w:cs="Arial"/>
          <w:sz w:val="19"/>
          <w:szCs w:val="19"/>
        </w:rPr>
      </w:pPr>
      <w:r w:rsidRPr="00B20388">
        <w:rPr>
          <w:rFonts w:cs="Arial"/>
          <w:sz w:val="19"/>
          <w:szCs w:val="19"/>
        </w:rPr>
        <w:t>University of Wyoming Police</w:t>
      </w:r>
    </w:p>
    <w:p w:rsidR="00325502" w:rsidRPr="00B20388" w:rsidRDefault="00325502" w:rsidP="006C2E21">
      <w:pPr>
        <w:rPr>
          <w:rFonts w:cs="Arial"/>
          <w:sz w:val="19"/>
          <w:szCs w:val="19"/>
        </w:rPr>
      </w:pPr>
      <w:r w:rsidRPr="00B20388">
        <w:rPr>
          <w:rFonts w:cs="Arial"/>
          <w:sz w:val="19"/>
          <w:szCs w:val="19"/>
        </w:rPr>
        <w:t>1000 E. University Dept. 3124</w:t>
      </w:r>
    </w:p>
    <w:p w:rsidR="00325502" w:rsidRPr="00B20388" w:rsidRDefault="00325502" w:rsidP="006C2E21">
      <w:pPr>
        <w:rPr>
          <w:rFonts w:cs="Arial"/>
          <w:sz w:val="19"/>
          <w:szCs w:val="19"/>
        </w:rPr>
      </w:pPr>
      <w:r w:rsidRPr="00B20388">
        <w:rPr>
          <w:rFonts w:cs="Arial"/>
          <w:sz w:val="19"/>
          <w:szCs w:val="19"/>
        </w:rPr>
        <w:t>Laramie, WY 82071</w:t>
      </w:r>
    </w:p>
    <w:p w:rsidR="00DC42A3" w:rsidRPr="00E6076E" w:rsidRDefault="00017F63" w:rsidP="006C2E21">
      <w:p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UWPD</w:t>
      </w:r>
      <w:r w:rsidR="00CD6C5B" w:rsidRPr="00B20388">
        <w:rPr>
          <w:rFonts w:cs="Arial"/>
          <w:sz w:val="19"/>
          <w:szCs w:val="19"/>
        </w:rPr>
        <w:t>@uwyo.edu</w:t>
      </w:r>
    </w:p>
    <w:sectPr w:rsidR="00DC42A3" w:rsidRPr="00E6076E" w:rsidSect="00EC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A3"/>
    <w:rsid w:val="00017F63"/>
    <w:rsid w:val="00034B5F"/>
    <w:rsid w:val="001048AB"/>
    <w:rsid w:val="00211C34"/>
    <w:rsid w:val="00325502"/>
    <w:rsid w:val="004343A7"/>
    <w:rsid w:val="00503D9F"/>
    <w:rsid w:val="00504DDC"/>
    <w:rsid w:val="00584408"/>
    <w:rsid w:val="006C2E21"/>
    <w:rsid w:val="00830CDE"/>
    <w:rsid w:val="00B20388"/>
    <w:rsid w:val="00CD6C5B"/>
    <w:rsid w:val="00D21703"/>
    <w:rsid w:val="00D87D1A"/>
    <w:rsid w:val="00DC42A3"/>
    <w:rsid w:val="00E6076E"/>
    <w:rsid w:val="00EC2666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6C99"/>
  <w15:docId w15:val="{5D23C0AA-DEED-4565-82CF-136837E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E2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2038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1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C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FEA2-8659-4124-A00C-75E6B673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bowhntr</dc:creator>
  <cp:lastModifiedBy>Jason Ross Satkunam</cp:lastModifiedBy>
  <cp:revision>4</cp:revision>
  <dcterms:created xsi:type="dcterms:W3CDTF">2023-06-05T16:21:00Z</dcterms:created>
  <dcterms:modified xsi:type="dcterms:W3CDTF">2023-06-05T17:18:00Z</dcterms:modified>
</cp:coreProperties>
</file>